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2"/>
        <w:spacing w:after="0"/>
        <w:rPr>
          <w:rFonts w:hint="default" w:eastAsia="Malgun Gothic" w:cs="Arial"/>
          <w:color w:val="000000"/>
          <w:kern w:val="2"/>
          <w:lang w:val="en-US" w:eastAsia="zh-CN"/>
        </w:rPr>
      </w:pPr>
      <w:bookmarkStart w:id="0" w:name="OLE_LINK11"/>
      <w:bookmarkStart w:id="1" w:name="OLE_LINK10"/>
      <w:bookmarkStart w:id="9" w:name="_GoBack"/>
      <w:bookmarkEnd w:id="9"/>
      <w:r>
        <w:rPr>
          <w:lang w:val="en-US"/>
        </w:rPr>
        <w:t>3GPP TSG-RAN WG2</w:t>
      </w:r>
      <w:r>
        <w:rPr>
          <w:rFonts w:hint="eastAsia"/>
          <w:lang w:val="en-US"/>
        </w:rPr>
        <w:t xml:space="preserve"> Meeting #10</w:t>
      </w:r>
      <w:r>
        <w:rPr>
          <w:rFonts w:hint="eastAsia"/>
          <w:lang w:val="en-US" w:eastAsia="zh-CN"/>
        </w:rPr>
        <w:t>7</w:t>
      </w:r>
      <w:r>
        <w:rPr>
          <w:rFonts w:cs="Arial"/>
          <w:color w:val="000000"/>
          <w:kern w:val="2"/>
          <w:lang w:val="en-US"/>
        </w:rPr>
        <w:tab/>
      </w:r>
      <w:r>
        <w:rPr>
          <w:rFonts w:cs="Arial"/>
          <w:color w:val="000000"/>
          <w:kern w:val="2"/>
          <w:lang w:val="en-US"/>
        </w:rPr>
        <w:t xml:space="preserve"> R2-190</w:t>
      </w:r>
      <w:r>
        <w:rPr>
          <w:rFonts w:hint="eastAsia" w:cs="Arial"/>
          <w:color w:val="000000"/>
          <w:kern w:val="2"/>
          <w:lang w:val="en-US" w:eastAsia="zh-CN"/>
        </w:rPr>
        <w:t>9060</w:t>
      </w:r>
    </w:p>
    <w:bookmarkEnd w:id="0"/>
    <w:bookmarkEnd w:id="1"/>
    <w:p>
      <w:pPr>
        <w:pStyle w:val="72"/>
      </w:pPr>
      <w:r>
        <w:rPr>
          <w:rFonts w:hint="eastAsia" w:eastAsia="宋体"/>
          <w:lang w:val="en-US" w:eastAsia="zh-CN"/>
        </w:rPr>
        <w:t>Prague</w:t>
      </w:r>
      <w:r>
        <w:rPr>
          <w:rFonts w:cs="Arial"/>
          <w:color w:val="000000"/>
          <w:kern w:val="2"/>
          <w:lang w:val="en-US"/>
        </w:rPr>
        <w:t>,</w:t>
      </w:r>
      <w:r>
        <w:rPr>
          <w:rFonts w:hint="eastAsia" w:eastAsia="宋体" w:cs="Arial"/>
          <w:color w:val="000000"/>
          <w:kern w:val="2"/>
          <w:lang w:val="en-US" w:eastAsia="zh-CN"/>
        </w:rPr>
        <w:t xml:space="preserve"> Czech Republic</w:t>
      </w:r>
      <w:r>
        <w:rPr>
          <w:rFonts w:cs="Arial"/>
          <w:color w:val="000000"/>
          <w:kern w:val="2"/>
          <w:lang w:val="en-US"/>
        </w:rPr>
        <w:t xml:space="preserve">, </w:t>
      </w:r>
      <w:r>
        <w:rPr>
          <w:rFonts w:hint="eastAsia" w:eastAsia="宋体" w:cs="Arial"/>
          <w:color w:val="000000"/>
          <w:kern w:val="2"/>
          <w:lang w:val="en-US" w:eastAsia="zh-CN"/>
        </w:rPr>
        <w:t>26</w:t>
      </w:r>
      <w:r>
        <w:rPr>
          <w:rFonts w:hint="eastAsia" w:eastAsia="宋体" w:cs="Arial"/>
          <w:color w:val="000000"/>
          <w:kern w:val="2"/>
          <w:vertAlign w:val="superscript"/>
          <w:lang w:val="en-US" w:eastAsia="zh-CN"/>
        </w:rPr>
        <w:t>th</w:t>
      </w:r>
      <w:r>
        <w:rPr>
          <w:rFonts w:cs="Arial"/>
          <w:color w:val="000000"/>
          <w:kern w:val="2"/>
          <w:lang w:val="en-US"/>
        </w:rPr>
        <w:t xml:space="preserve"> </w:t>
      </w:r>
      <w:r>
        <w:rPr>
          <w:rFonts w:hint="eastAsia" w:eastAsia="宋体" w:cs="Arial"/>
          <w:color w:val="000000"/>
          <w:kern w:val="2"/>
          <w:lang w:val="en-US" w:eastAsia="zh-CN"/>
        </w:rPr>
        <w:t>Aug</w:t>
      </w:r>
      <w:r>
        <w:rPr>
          <w:rFonts w:cs="Arial"/>
          <w:color w:val="000000"/>
          <w:kern w:val="2"/>
          <w:lang w:val="en-US"/>
        </w:rPr>
        <w:t xml:space="preserve"> – </w:t>
      </w:r>
      <w:r>
        <w:rPr>
          <w:rFonts w:hint="eastAsia" w:eastAsia="宋体" w:cs="Arial"/>
          <w:color w:val="000000"/>
          <w:kern w:val="2"/>
          <w:lang w:val="en-US" w:eastAsia="zh-CN"/>
        </w:rPr>
        <w:t>30</w:t>
      </w:r>
      <w:r>
        <w:rPr>
          <w:rFonts w:hint="eastAsia" w:eastAsia="宋体" w:cs="Arial"/>
          <w:color w:val="000000"/>
          <w:kern w:val="2"/>
          <w:vertAlign w:val="superscript"/>
          <w:lang w:val="en-US" w:eastAsia="zh-CN"/>
        </w:rPr>
        <w:t>th</w:t>
      </w:r>
      <w:r>
        <w:rPr>
          <w:rFonts w:cs="Arial"/>
          <w:color w:val="000000"/>
          <w:kern w:val="2"/>
          <w:lang w:val="en-US"/>
        </w:rPr>
        <w:t xml:space="preserve"> </w:t>
      </w:r>
      <w:r>
        <w:rPr>
          <w:rFonts w:hint="eastAsia" w:eastAsia="宋体" w:cs="Arial"/>
          <w:color w:val="000000"/>
          <w:kern w:val="2"/>
          <w:lang w:val="en-US" w:eastAsia="zh-CN"/>
        </w:rPr>
        <w:t>Aug</w:t>
      </w:r>
      <w:r>
        <w:rPr>
          <w:rFonts w:cs="Arial"/>
          <w:color w:val="000000"/>
          <w:kern w:val="2"/>
          <w:lang w:val="en-US"/>
        </w:rPr>
        <w:t xml:space="preserve"> 2019</w:t>
      </w:r>
    </w:p>
    <w:p>
      <w:pPr>
        <w:tabs>
          <w:tab w:val="left" w:pos="1701"/>
          <w:tab w:val="right" w:pos="9639"/>
        </w:tabs>
        <w:spacing w:after="0"/>
        <w:rPr>
          <w:rFonts w:cs="Arial"/>
          <w:b/>
          <w:color w:val="000000"/>
          <w:kern w:val="2"/>
          <w:sz w:val="24"/>
        </w:rPr>
      </w:pPr>
    </w:p>
    <w:p>
      <w:pPr>
        <w:pStyle w:val="72"/>
        <w:rPr>
          <w:rFonts w:hint="eastAsia" w:eastAsia="宋体"/>
          <w:sz w:val="22"/>
          <w:szCs w:val="22"/>
          <w:lang w:val="en-US" w:eastAsia="zh-CN"/>
        </w:rPr>
      </w:pPr>
      <w:r>
        <w:rPr>
          <w:sz w:val="22"/>
          <w:szCs w:val="22"/>
        </w:rPr>
        <w:t>Agenda Item:</w:t>
      </w:r>
      <w:r>
        <w:rPr>
          <w:sz w:val="22"/>
          <w:szCs w:val="22"/>
        </w:rPr>
        <w:tab/>
      </w:r>
      <w:r>
        <w:rPr>
          <w:sz w:val="22"/>
          <w:szCs w:val="22"/>
        </w:rPr>
        <w:t>11.4.2</w:t>
      </w:r>
    </w:p>
    <w:p>
      <w:pPr>
        <w:pStyle w:val="72"/>
        <w:rPr>
          <w:rFonts w:hint="default" w:eastAsia="Malgun Gothic"/>
          <w:sz w:val="22"/>
          <w:szCs w:val="22"/>
          <w:lang w:val="en-US" w:eastAsia="zh-CN"/>
        </w:rPr>
      </w:pPr>
      <w:r>
        <w:rPr>
          <w:sz w:val="22"/>
          <w:szCs w:val="22"/>
        </w:rPr>
        <w:t>Source:</w:t>
      </w:r>
      <w:r>
        <w:rPr>
          <w:sz w:val="22"/>
          <w:szCs w:val="22"/>
        </w:rPr>
        <w:tab/>
      </w:r>
      <w:r>
        <w:rPr>
          <w:rFonts w:hint="eastAsia"/>
          <w:sz w:val="22"/>
          <w:szCs w:val="22"/>
          <w:lang w:val="en-US" w:eastAsia="zh-CN"/>
        </w:rPr>
        <w:t>ZTE, Sanechips</w:t>
      </w:r>
    </w:p>
    <w:p>
      <w:pPr>
        <w:pStyle w:val="72"/>
        <w:rPr>
          <w:rFonts w:hint="default" w:eastAsia="Malgun Gothic"/>
          <w:sz w:val="22"/>
          <w:szCs w:val="22"/>
          <w:lang w:val="en-US" w:eastAsia="zh-CN"/>
        </w:rPr>
      </w:pPr>
      <w:r>
        <w:rPr>
          <w:sz w:val="22"/>
          <w:szCs w:val="22"/>
        </w:rPr>
        <w:t>Title:</w:t>
      </w:r>
      <w:r>
        <w:rPr>
          <w:sz w:val="22"/>
          <w:szCs w:val="22"/>
        </w:rPr>
        <w:tab/>
      </w:r>
      <w:r>
        <w:rPr>
          <w:rFonts w:hint="eastAsia"/>
          <w:sz w:val="22"/>
          <w:szCs w:val="22"/>
          <w:lang w:val="en-US" w:eastAsia="zh-CN"/>
        </w:rPr>
        <w:t>Cell selection/reselection for NR V2X</w:t>
      </w:r>
    </w:p>
    <w:p>
      <w:pPr>
        <w:pStyle w:val="72"/>
      </w:pPr>
      <w:r>
        <w:rPr>
          <w:sz w:val="22"/>
          <w:szCs w:val="22"/>
        </w:rPr>
        <w:t>Document for:</w:t>
      </w:r>
      <w:r>
        <w:rPr>
          <w:sz w:val="22"/>
          <w:szCs w:val="22"/>
        </w:rPr>
        <w:tab/>
      </w:r>
      <w:r>
        <w:rPr>
          <w:sz w:val="22"/>
          <w:szCs w:val="22"/>
        </w:rPr>
        <w:t>Discussion, Decision</w:t>
      </w:r>
    </w:p>
    <w:p>
      <w:pPr>
        <w:pStyle w:val="2"/>
      </w:pPr>
      <w:bookmarkStart w:id="2" w:name="_Ref488331639"/>
      <w:r>
        <w:t>Introduction</w:t>
      </w:r>
      <w:bookmarkEnd w:id="2"/>
    </w:p>
    <w:p>
      <w:pPr>
        <w:rPr>
          <w:rFonts w:hint="default" w:eastAsia="宋体"/>
          <w:lang w:val="en-US" w:eastAsia="zh-CN"/>
        </w:rPr>
      </w:pPr>
      <w:r>
        <w:rPr>
          <w:rFonts w:hint="eastAsia" w:eastAsia="宋体"/>
          <w:lang w:val="en-US" w:eastAsia="zh-CN"/>
        </w:rPr>
        <w:t>During RAN2 #106 meeting, some agreements about NR V2X cell selection/reselection had been made. Generally speaking, when designing NR V2X cell selection/reselection mechanism, the support</w:t>
      </w:r>
      <w:r>
        <w:rPr>
          <w:rFonts w:hint="eastAsia" w:eastAsia="CG Times (WN)" w:cs="CG Times (WN)"/>
          <w:sz w:val="20"/>
          <w:szCs w:val="20"/>
        </w:rPr>
        <w:t>ed SL RAT(s)</w:t>
      </w:r>
      <w:r>
        <w:rPr>
          <w:rFonts w:hint="eastAsia" w:eastAsia="宋体"/>
          <w:lang w:val="en-US" w:eastAsia="zh-CN"/>
        </w:rPr>
        <w:t xml:space="preserve"> of UE capability, the </w:t>
      </w:r>
      <w:r>
        <w:rPr>
          <w:rFonts w:hint="eastAsia" w:eastAsia="CG Times (WN)" w:cs="CG Times (WN)"/>
          <w:sz w:val="20"/>
          <w:szCs w:val="20"/>
        </w:rPr>
        <w:t>selected SL</w:t>
      </w:r>
      <w:r>
        <w:rPr>
          <w:rFonts w:hint="eastAsia" w:eastAsia="宋体" w:cs="CG Times (WN)"/>
          <w:sz w:val="20"/>
          <w:szCs w:val="20"/>
          <w:lang w:val="en-US" w:eastAsia="zh-CN"/>
        </w:rPr>
        <w:t xml:space="preserve"> </w:t>
      </w:r>
      <w:r>
        <w:rPr>
          <w:rFonts w:hint="eastAsia" w:eastAsia="宋体"/>
          <w:lang w:val="en-US" w:eastAsia="zh-CN"/>
        </w:rPr>
        <w:t>RAT</w:t>
      </w:r>
      <w:r>
        <w:rPr>
          <w:rFonts w:hint="eastAsia" w:eastAsia="CG Times (WN)" w:cs="CG Times (WN)"/>
          <w:sz w:val="20"/>
          <w:szCs w:val="20"/>
        </w:rPr>
        <w:t xml:space="preserve">(s) </w:t>
      </w:r>
      <w:r>
        <w:rPr>
          <w:rFonts w:hint="eastAsia" w:eastAsia="宋体"/>
          <w:lang w:val="en-US" w:eastAsia="zh-CN"/>
        </w:rPr>
        <w:t>indicated from upper layer, as well as NR cell selection/reselection procedure should all be taken into account.</w:t>
      </w:r>
    </w:p>
    <w:tbl>
      <w:tblPr>
        <w:tblStyle w:val="45"/>
        <w:tblW w:w="9718"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18" w:type="dxa"/>
          </w:tcPr>
          <w:p>
            <w:pPr>
              <w:keepNext w:val="0"/>
              <w:keepLines w:val="0"/>
              <w:widowControl/>
              <w:suppressLineNumbers w:val="0"/>
              <w:spacing w:before="0" w:beforeAutospacing="0" w:afterAutospacing="0"/>
              <w:ind w:left="0" w:right="0"/>
              <w:rPr>
                <w:rFonts w:hint="default" w:eastAsia="CG Times (WN)" w:cs="CG Times (WN)"/>
                <w:sz w:val="20"/>
                <w:szCs w:val="20"/>
              </w:rPr>
            </w:pPr>
            <w:r>
              <w:rPr>
                <w:rFonts w:hint="eastAsia" w:eastAsia="CG Times (WN)" w:cs="CG Times (WN)"/>
                <w:sz w:val="20"/>
                <w:szCs w:val="20"/>
              </w:rPr>
              <w:t xml:space="preserve">Agreements on cell (re)selection: </w:t>
            </w:r>
          </w:p>
          <w:p>
            <w:pPr>
              <w:keepNext w:val="0"/>
              <w:keepLines w:val="0"/>
              <w:widowControl/>
              <w:suppressLineNumbers w:val="0"/>
              <w:spacing w:before="0" w:beforeAutospacing="0" w:afterAutospacing="0"/>
              <w:ind w:left="0" w:right="0"/>
              <w:rPr>
                <w:rFonts w:hint="default" w:eastAsia="CG Times (WN)" w:cs="CG Times (WN)"/>
                <w:sz w:val="20"/>
                <w:szCs w:val="20"/>
              </w:rPr>
            </w:pPr>
            <w:r>
              <w:rPr>
                <w:rFonts w:hint="eastAsia" w:eastAsia="CG Times (WN)" w:cs="CG Times (WN)"/>
                <w:sz w:val="20"/>
                <w:szCs w:val="20"/>
              </w:rPr>
              <w:t xml:space="preserve">1: </w:t>
            </w:r>
            <w:r>
              <w:rPr>
                <w:rFonts w:hint="eastAsia" w:eastAsia="CG Times (WN)" w:cs="CG Times (WN)"/>
                <w:sz w:val="20"/>
                <w:szCs w:val="20"/>
              </w:rPr>
              <w:tab/>
            </w:r>
            <w:r>
              <w:rPr>
                <w:rFonts w:hint="eastAsia" w:eastAsia="CG Times (WN)" w:cs="CG Times (WN)"/>
                <w:sz w:val="20"/>
                <w:szCs w:val="20"/>
              </w:rPr>
              <w:t>For cell selection, NR V2X UE can follow the current NR cell selection procedure.</w:t>
            </w:r>
          </w:p>
          <w:p>
            <w:pPr>
              <w:keepNext w:val="0"/>
              <w:keepLines w:val="0"/>
              <w:widowControl/>
              <w:suppressLineNumbers w:val="0"/>
              <w:spacing w:before="0" w:beforeAutospacing="0" w:afterAutospacing="0"/>
              <w:ind w:left="0" w:right="0"/>
              <w:rPr>
                <w:rFonts w:hint="default" w:eastAsia="CG Times (WN)" w:cs="CG Times (WN)"/>
                <w:sz w:val="20"/>
                <w:szCs w:val="20"/>
              </w:rPr>
            </w:pPr>
            <w:r>
              <w:rPr>
                <w:rFonts w:hint="eastAsia" w:eastAsia="CG Times (WN)" w:cs="CG Times (WN)"/>
                <w:sz w:val="20"/>
                <w:szCs w:val="20"/>
              </w:rPr>
              <w:t>2:</w:t>
            </w:r>
            <w:r>
              <w:rPr>
                <w:rFonts w:hint="eastAsia" w:eastAsia="CG Times (WN)" w:cs="CG Times (WN)"/>
                <w:sz w:val="20"/>
                <w:szCs w:val="20"/>
              </w:rPr>
              <w:tab/>
            </w:r>
            <w:r>
              <w:rPr>
                <w:rFonts w:hint="eastAsia" w:eastAsia="CG Times (WN)" w:cs="CG Times (WN)"/>
                <w:sz w:val="20"/>
                <w:szCs w:val="20"/>
              </w:rPr>
              <w:t>For cell reselection, NR V2X UE who interested in SL V2X communication needs to consider at least the SL RAT(s) supported by the cell. Moreover, the supported SL RAT(s) of the UE capability or the selected SL RAT(s) by the upper layer for the V2X service(s) may also need to be considered</w:t>
            </w:r>
          </w:p>
        </w:tc>
      </w:tr>
    </w:tbl>
    <w:p>
      <w:pPr>
        <w:rPr>
          <w:rFonts w:hint="default" w:eastAsia="宋体"/>
          <w:lang w:val="en-US" w:eastAsia="zh-CN"/>
        </w:rPr>
      </w:pPr>
      <w:r>
        <w:rPr>
          <w:rFonts w:hint="eastAsia" w:eastAsia="宋体"/>
          <w:lang w:val="en-US" w:eastAsia="zh-CN"/>
        </w:rPr>
        <w:t>Therefore, in this contribution, we will further analyze how to consider the above factors in NR V2X cell selection/reselection procedures in detail.</w:t>
      </w:r>
    </w:p>
    <w:p>
      <w:pPr>
        <w:pStyle w:val="2"/>
      </w:pPr>
      <w:bookmarkStart w:id="3" w:name="_Ref178064866"/>
      <w:r>
        <w:t>Discussion</w:t>
      </w:r>
      <w:bookmarkEnd w:id="3"/>
    </w:p>
    <w:p>
      <w:pPr>
        <w:pStyle w:val="3"/>
        <w:bidi w:val="0"/>
        <w:outlineLvl w:val="1"/>
        <w:rPr>
          <w:rFonts w:hint="default"/>
          <w:sz w:val="24"/>
          <w:szCs w:val="24"/>
          <w:lang w:val="en-US" w:eastAsia="zh-CN"/>
        </w:rPr>
      </w:pPr>
      <w:r>
        <w:rPr>
          <w:rFonts w:hint="eastAsia"/>
          <w:sz w:val="24"/>
          <w:szCs w:val="24"/>
          <w:lang w:val="en-US" w:eastAsia="zh-CN"/>
        </w:rPr>
        <w:t>Carrier prioritization rule</w:t>
      </w:r>
    </w:p>
    <w:p>
      <w:pPr>
        <w:rPr>
          <w:rFonts w:hint="default"/>
          <w:lang w:val="en-US" w:eastAsia="zh-CN"/>
        </w:rPr>
      </w:pPr>
      <w:r>
        <w:rPr>
          <w:rFonts w:hint="eastAsia"/>
          <w:lang w:val="en-US" w:eastAsia="zh-CN"/>
        </w:rPr>
        <w:t>In LTE V2X, according to TS36.304 [1]:</w:t>
      </w:r>
    </w:p>
    <w:tbl>
      <w:tblPr>
        <w:tblStyle w:val="4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64"/>
              <w:keepNext w:val="0"/>
              <w:widowControl/>
              <w:suppressLineNumbers w:val="0"/>
              <w:spacing w:before="0" w:beforeAutospacing="0" w:afterAutospacing="0"/>
              <w:ind w:left="0" w:leftChars="0" w:right="0" w:firstLine="0" w:firstLineChars="0"/>
              <w:rPr>
                <w:rFonts w:hint="eastAsia"/>
                <w:sz w:val="20"/>
                <w:szCs w:val="20"/>
                <w:vertAlign w:val="baseline"/>
                <w:lang w:val="en-US" w:eastAsia="zh-CN"/>
              </w:rPr>
            </w:pPr>
            <w:r>
              <w:rPr>
                <w:rFonts w:hint="default"/>
                <w:sz w:val="20"/>
                <w:szCs w:val="20"/>
              </w:rPr>
              <w:t xml:space="preserve">NOTE </w:t>
            </w:r>
            <w:r>
              <w:rPr>
                <w:rFonts w:hint="default"/>
                <w:sz w:val="20"/>
                <w:szCs w:val="20"/>
                <w:lang w:eastAsia="ko-KR"/>
              </w:rPr>
              <w:t>1</w:t>
            </w:r>
            <w:r>
              <w:rPr>
                <w:rFonts w:hint="default"/>
                <w:sz w:val="20"/>
                <w:szCs w:val="20"/>
              </w:rPr>
              <w:t>:</w:t>
            </w:r>
            <w:r>
              <w:rPr>
                <w:rFonts w:hint="default"/>
                <w:sz w:val="20"/>
                <w:szCs w:val="20"/>
              </w:rPr>
              <w:tab/>
            </w:r>
            <w:r>
              <w:rPr>
                <w:rFonts w:hint="default"/>
                <w:sz w:val="20"/>
                <w:szCs w:val="20"/>
              </w:rPr>
              <w:t>The UE may consider the carrier pre-configured for sidelink communication</w:t>
            </w:r>
            <w:r>
              <w:rPr>
                <w:rFonts w:hint="default"/>
                <w:sz w:val="20"/>
                <w:szCs w:val="20"/>
                <w:lang w:eastAsia="zh-CN"/>
              </w:rPr>
              <w:t xml:space="preserve"> or V2X sidelink communication, or the frequencies pre-configured for providing inter-carrier V2X sidelink configuration</w:t>
            </w:r>
            <w:r>
              <w:rPr>
                <w:rFonts w:hint="default"/>
                <w:sz w:val="20"/>
                <w:szCs w:val="20"/>
              </w:rPr>
              <w:t xml:space="preserve"> to have the highest cell reselection priority</w:t>
            </w:r>
            <w:r>
              <w:rPr>
                <w:rFonts w:hint="default"/>
                <w:sz w:val="20"/>
                <w:szCs w:val="20"/>
                <w:lang w:eastAsia="ko-KR"/>
              </w:rPr>
              <w:t xml:space="preserve"> in accordance with clause 5.2.4.1.</w:t>
            </w:r>
          </w:p>
        </w:tc>
      </w:tr>
    </w:tbl>
    <w:p>
      <w:pPr>
        <w:rPr>
          <w:rFonts w:hint="eastAsia"/>
          <w:lang w:val="en-US" w:eastAsia="zh-CN"/>
        </w:rPr>
      </w:pPr>
      <w:r>
        <w:rPr>
          <w:rFonts w:hint="eastAsia"/>
          <w:lang w:val="en-US" w:eastAsia="zh-CN"/>
        </w:rPr>
        <w:t>The carrier prioritization rule is very straightforward, only if the carrier can provide V2X sidelink configuration on the serving carrier or inter-carrier V2X sidelink configuration, it can be prioritized in cell reselection.</w:t>
      </w:r>
    </w:p>
    <w:p>
      <w:pPr>
        <w:rPr>
          <w:rFonts w:hint="default"/>
          <w:b/>
          <w:bCs/>
          <w:lang w:val="en-US" w:eastAsia="zh-CN"/>
        </w:rPr>
      </w:pPr>
      <w:r>
        <w:rPr>
          <w:rFonts w:hint="eastAsia"/>
          <w:b/>
          <w:bCs/>
          <w:lang w:val="en-US" w:eastAsia="zh-CN"/>
        </w:rPr>
        <w:t>Observation 1: In LTE V2X, UE will consider those carriers which can provide V2X sidelink ocnfiguration or inter-carrier V2X sidelink configuration with highest priority.</w:t>
      </w:r>
    </w:p>
    <w:p>
      <w:pPr>
        <w:rPr>
          <w:rFonts w:hint="eastAsia"/>
          <w:lang w:val="en-US" w:eastAsia="zh-CN"/>
        </w:rPr>
      </w:pPr>
      <w:r>
        <w:rPr>
          <w:rFonts w:hint="eastAsia"/>
          <w:lang w:val="en-US" w:eastAsia="zh-CN"/>
        </w:rPr>
        <w:t>When it comes to NR V2X, there are two types of V2X UEs including UEs that support only NR sidelink and UEs that support both LTE and NR sidelink. In details, different UE may have different carrier prioritization rules, when considering the configuration of different RATs the corresponding carriers can provide.</w:t>
      </w:r>
    </w:p>
    <w:p>
      <w:pPr>
        <w:rPr>
          <w:rFonts w:hint="default"/>
          <w:b/>
          <w:bCs/>
          <w:lang w:val="en-US" w:eastAsia="zh-CN"/>
        </w:rPr>
      </w:pPr>
      <w:r>
        <w:rPr>
          <w:rFonts w:hint="eastAsia"/>
          <w:b/>
          <w:bCs/>
          <w:lang w:val="en-US" w:eastAsia="zh-CN"/>
        </w:rPr>
        <w:t>Observation 2: In NR V2X, there are two possible types of UE, which includes UEs that can only NR sidelink transmission, and UEs that can support both NR and LTE sidelink transmission.</w:t>
      </w:r>
    </w:p>
    <w:p>
      <w:pPr>
        <w:rPr>
          <w:rFonts w:hint="eastAsia"/>
          <w:lang w:val="en-US" w:eastAsia="zh-CN"/>
        </w:rPr>
      </w:pPr>
      <w:r>
        <w:rPr>
          <w:rFonts w:hint="eastAsia"/>
          <w:lang w:val="en-US" w:eastAsia="zh-CN"/>
        </w:rPr>
        <w:t>If the UE only supports NR sidelink communication, then the UE can only consider those carriers which can provide NR V2X sidelink configuration or inter-carrier NR V2X sidelink configuration with highest priority, despite whether the carrier can also provide LTE sidelink configuration.</w:t>
      </w:r>
    </w:p>
    <w:p>
      <w:pPr>
        <w:rPr>
          <w:rFonts w:hint="default"/>
          <w:b/>
          <w:bCs/>
          <w:lang w:val="en-US" w:eastAsia="zh-CN"/>
        </w:rPr>
      </w:pPr>
      <w:r>
        <w:rPr>
          <w:rFonts w:hint="eastAsia"/>
          <w:b/>
          <w:bCs/>
          <w:lang w:val="en-US" w:eastAsia="zh-CN"/>
        </w:rPr>
        <w:t>Proposal 1: For the NR UE which only supports NR sidelink communication, it should prioritize those carriers which can support NR V2X configuration.</w:t>
      </w:r>
    </w:p>
    <w:p>
      <w:pPr>
        <w:rPr>
          <w:rFonts w:hint="eastAsia"/>
          <w:lang w:val="en-US" w:eastAsia="zh-CN"/>
        </w:rPr>
      </w:pPr>
      <w:r>
        <w:rPr>
          <w:rFonts w:hint="eastAsia"/>
          <w:lang w:val="en-US" w:eastAsia="zh-CN"/>
        </w:rPr>
        <w:t>If the UE can support both NR sidelink communication and LTE sidelink communication,then in order to decrease the carrier(cell) reselection possibility, the UE consider the carrier which can provide both NR V2X sidelink configuration and LTE V2X sidelink configuration or inter-carrier configuration for both NR and LTE RAT, with highest priority, then deprioritises the rest carriers which can only provide either LTE V2X sidelink configuration or NR V2X sidelink configuration.</w:t>
      </w:r>
    </w:p>
    <w:p>
      <w:pPr>
        <w:rPr>
          <w:rFonts w:hint="default"/>
          <w:b/>
          <w:bCs/>
          <w:lang w:val="en-US" w:eastAsia="zh-CN"/>
        </w:rPr>
      </w:pPr>
      <w:r>
        <w:rPr>
          <w:rFonts w:hint="eastAsia"/>
          <w:b/>
          <w:bCs/>
          <w:lang w:val="en-US" w:eastAsia="zh-CN"/>
        </w:rPr>
        <w:t>Proposal 2: For the NR UE which supports both NR and LTE sidelink communication, it should prioritize those carriers which can support both NR and LTE V2X configuration.</w:t>
      </w:r>
    </w:p>
    <w:p>
      <w:pPr>
        <w:rPr>
          <w:rFonts w:hint="eastAsia"/>
          <w:lang w:val="en-US" w:eastAsia="zh-CN"/>
        </w:rPr>
      </w:pPr>
      <w:r>
        <w:rPr>
          <w:rFonts w:hint="eastAsia"/>
          <w:lang w:val="en-US" w:eastAsia="zh-CN"/>
        </w:rPr>
        <w:t xml:space="preserve">In the previous section, it is mentioned that there are various UEs with two types of UE capability, UE supports only NR sidelink and UE supports both LTE and NR sidelink. The carrier prioritization rule for the first type of UE is quite straight forward. However, </w:t>
      </w:r>
      <w:r>
        <w:rPr>
          <w:rFonts w:hint="default"/>
          <w:lang w:val="en-US" w:eastAsia="zh-CN"/>
        </w:rPr>
        <w:t xml:space="preserve">considering </w:t>
      </w:r>
      <w:r>
        <w:rPr>
          <w:rFonts w:hint="eastAsia"/>
          <w:lang w:val="en-US" w:eastAsia="zh-CN"/>
        </w:rPr>
        <w:t>the second type of UE, the configured RAT services from upper layer should also be considered besides UE capability. In details, there are the following two scenarios:</w:t>
      </w:r>
    </w:p>
    <w:p>
      <w:pPr>
        <w:rPr>
          <w:rFonts w:hint="eastAsia"/>
          <w:lang w:val="en-US" w:eastAsia="zh-CN"/>
        </w:rPr>
      </w:pPr>
      <w:r>
        <w:rPr>
          <w:rFonts w:hint="eastAsia"/>
          <w:lang w:val="en-US" w:eastAsia="zh-CN"/>
        </w:rPr>
        <w:t>Scenario 1:</w:t>
      </w:r>
    </w:p>
    <w:p>
      <w:pPr>
        <w:rPr>
          <w:rFonts w:hint="eastAsia"/>
          <w:lang w:val="en-US" w:eastAsia="zh-CN"/>
        </w:rPr>
      </w:pPr>
      <w:r>
        <w:rPr>
          <w:rFonts w:hint="eastAsia"/>
          <w:lang w:val="en-US" w:eastAsia="zh-CN"/>
        </w:rPr>
        <w:t>UE is configured or authorized to perform dual RAT services by upper layer, according to the carrier prioritization rule, the UE is capable to select carrier which can support dual-RAT configuration. In this case, according to the above proposal, UE should consider those carriers which can provide dual-RAT configuration as highest priority and firstly select those highest prioritized carrier to perform sidelink transmission.</w:t>
      </w:r>
    </w:p>
    <w:p>
      <w:pPr>
        <w:rPr>
          <w:rFonts w:hint="eastAsia"/>
          <w:lang w:val="en-US" w:eastAsia="zh-CN"/>
        </w:rPr>
      </w:pPr>
      <w:r>
        <w:rPr>
          <w:rFonts w:hint="eastAsia"/>
          <w:lang w:val="en-US" w:eastAsia="zh-CN"/>
        </w:rPr>
        <w:t>Scenario 2:</w:t>
      </w:r>
    </w:p>
    <w:p>
      <w:pPr>
        <w:rPr>
          <w:rFonts w:hint="eastAsia"/>
          <w:lang w:val="en-US" w:eastAsia="zh-CN"/>
        </w:rPr>
      </w:pPr>
      <w:r>
        <w:rPr>
          <w:rFonts w:hint="eastAsia"/>
          <w:lang w:val="en-US" w:eastAsia="zh-CN"/>
        </w:rPr>
        <w:t>UE is configured or authorized to perform dual RAT services by upper layer, however, according to the carrier prioritization rule, the UE is not capable to select carrier which can support dual-RAT configuration, i.e. there is no such first prioritized carrier which can provide dual-RAT configuration. Then the UE has to select second prioritized carriers, which have only one RAT SL configuration, LTE or NR. In this case, the UE can only select one carrier among the second prioritized carriers. In details, if in the second prioritized carriers, both NR SL carrier and LTE SL carrier are existing, then it depend on UE implementation to decide which carrier should be select. Then for the other RAT service which cannot acquire configuration from any carrier. The UE should treat that RAT as out of coverage and use pre-configuration to perform sidelink transmission on that RAT.</w:t>
      </w:r>
    </w:p>
    <w:p>
      <w:pPr>
        <w:rPr>
          <w:rFonts w:hint="eastAsia"/>
          <w:lang w:val="en-US" w:eastAsia="zh-CN"/>
        </w:rPr>
      </w:pPr>
      <w:r>
        <w:rPr>
          <w:rFonts w:hint="eastAsia"/>
          <w:lang w:val="en-US" w:eastAsia="zh-CN"/>
        </w:rPr>
        <w:t>Scenario 3:</w:t>
      </w:r>
    </w:p>
    <w:p>
      <w:pPr>
        <w:rPr>
          <w:rFonts w:hint="eastAsia"/>
          <w:lang w:val="en-US" w:eastAsia="zh-CN"/>
        </w:rPr>
      </w:pPr>
      <w:r>
        <w:rPr>
          <w:rFonts w:hint="eastAsia"/>
          <w:lang w:val="en-US" w:eastAsia="zh-CN"/>
        </w:rPr>
        <w:t>UE is configured to perform V2X transmission on only one RAT by upper layer. According to the carrier prioritization rule, the UE should anyway to select carrier which can support dual-RAT configuration, if such first prioritized carriers are existing. Otherwise, the UE should select carrier which is corresponding to its current ongoing service</w:t>
      </w:r>
      <w:r>
        <w:rPr>
          <w:rFonts w:hint="default"/>
          <w:lang w:val="en-US" w:eastAsia="zh-CN"/>
        </w:rPr>
        <w:t>’</w:t>
      </w:r>
      <w:r>
        <w:rPr>
          <w:rFonts w:hint="eastAsia"/>
          <w:lang w:val="en-US" w:eastAsia="zh-CN"/>
        </w:rPr>
        <w:t>s RAT, if such second prioritized carriers are existing. Otherwise, the UE should regard itself as out of coverage and use pre-configuration to perform sidelink transmission on that RAT.</w:t>
      </w:r>
    </w:p>
    <w:p>
      <w:pPr>
        <w:rPr>
          <w:rFonts w:hint="eastAsia"/>
          <w:lang w:val="en-US" w:eastAsia="zh-CN"/>
        </w:rPr>
      </w:pPr>
      <w:r>
        <w:rPr>
          <w:rFonts w:hint="eastAsia"/>
          <w:lang w:val="en-US" w:eastAsia="zh-CN"/>
        </w:rPr>
        <w:t>According to the analysis of the three above scenarios, it can be concluded that if the first prioritized carrier is existing, for the UE which can support both NR and LTE sidelink transmission, then the UE should anyway select the first prioritized carrier. However, if there is no first prioritized carrier, but the UE has dual-RAT services, then it depends on UE implementation to select one carrier, which is the reuse of Uu behaviour in LTE MBMS. If the UE has only one RAT service, then the UE should according to its service RAT, based on its implementation, to select a carrier. If the UE cannot select a carrier according to its service RAT, then UE should treat itself as out of coverage on that RAT.</w:t>
      </w:r>
    </w:p>
    <w:tbl>
      <w:tblPr>
        <w:tblStyle w:val="4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5"/>
              <w:widowControl/>
              <w:numPr>
                <w:ilvl w:val="3"/>
                <w:numId w:val="0"/>
              </w:numPr>
              <w:suppressLineNumbers w:val="0"/>
              <w:tabs>
                <w:tab w:val="clear" w:pos="864"/>
              </w:tabs>
              <w:spacing w:beforeAutospacing="0" w:afterAutospacing="0"/>
              <w:ind w:left="0" w:leftChars="0" w:right="0"/>
              <w:rPr>
                <w:rFonts w:hint="default" w:eastAsia="宋体"/>
                <w:lang w:val="en-US" w:eastAsia="zh-CN"/>
              </w:rPr>
            </w:pPr>
            <w:bookmarkStart w:id="4" w:name="_Toc12401207"/>
            <w:r>
              <w:rPr>
                <w:rFonts w:hint="eastAsia" w:eastAsia="宋体"/>
                <w:lang w:val="en-US" w:eastAsia="zh-CN"/>
              </w:rPr>
              <w:t xml:space="preserve">TS36.304 </w:t>
            </w:r>
          </w:p>
          <w:p>
            <w:pPr>
              <w:pStyle w:val="5"/>
              <w:widowControl/>
              <w:numPr>
                <w:ilvl w:val="3"/>
                <w:numId w:val="0"/>
              </w:numPr>
              <w:suppressLineNumbers w:val="0"/>
              <w:tabs>
                <w:tab w:val="clear" w:pos="864"/>
              </w:tabs>
              <w:spacing w:beforeAutospacing="0" w:afterAutospacing="0"/>
              <w:ind w:left="0" w:leftChars="0" w:right="0"/>
              <w:rPr>
                <w:rFonts w:hint="default"/>
              </w:rPr>
            </w:pPr>
            <w:r>
              <w:rPr>
                <w:rFonts w:hint="default"/>
              </w:rPr>
              <w:t>5.2.4.1</w:t>
            </w:r>
            <w:r>
              <w:rPr>
                <w:rFonts w:hint="default"/>
              </w:rPr>
              <w:tab/>
            </w:r>
            <w:r>
              <w:rPr>
                <w:rFonts w:hint="default"/>
              </w:rPr>
              <w:t>Reselection priorities handling</w:t>
            </w:r>
            <w:bookmarkEnd w:id="4"/>
          </w:p>
          <w:p>
            <w:pPr>
              <w:keepNext w:val="0"/>
              <w:keepLines w:val="0"/>
              <w:widowControl/>
              <w:suppressLineNumbers w:val="0"/>
              <w:spacing w:before="0" w:beforeAutospacing="0" w:afterAutospacing="0"/>
              <w:ind w:left="0" w:right="0"/>
              <w:rPr>
                <w:rFonts w:hint="default"/>
                <w:sz w:val="20"/>
                <w:szCs w:val="20"/>
                <w:lang w:eastAsia="zh-CN"/>
              </w:rPr>
            </w:pPr>
            <w:r>
              <w:rPr>
                <w:rFonts w:hint="default"/>
                <w:sz w:val="20"/>
                <w:szCs w:val="20"/>
              </w:rPr>
              <w:t>Absolute priorities of different E-UTRAN frequencies or inter-RAT frequencies may be provided to the UE</w:t>
            </w:r>
            <w:r>
              <w:rPr>
                <w:rFonts w:hint="default"/>
                <w:sz w:val="20"/>
                <w:szCs w:val="20"/>
                <w:lang w:eastAsia="ja-JP"/>
              </w:rPr>
              <w:t xml:space="preserve"> </w:t>
            </w:r>
            <w:r>
              <w:rPr>
                <w:rFonts w:hint="default"/>
                <w:sz w:val="20"/>
                <w:szCs w:val="20"/>
              </w:rPr>
              <w:t xml:space="preserve">in the system information, </w:t>
            </w:r>
            <w:r>
              <w:rPr>
                <w:rFonts w:hint="default"/>
                <w:sz w:val="20"/>
                <w:szCs w:val="20"/>
                <w:lang w:eastAsia="ja-JP"/>
              </w:rPr>
              <w:t xml:space="preserve">in the </w:t>
            </w:r>
            <w:r>
              <w:rPr>
                <w:rFonts w:hint="default"/>
                <w:i/>
                <w:sz w:val="20"/>
                <w:szCs w:val="20"/>
                <w:lang w:eastAsia="ja-JP"/>
              </w:rPr>
              <w:t>RRCConnectionRelease</w:t>
            </w:r>
            <w:r>
              <w:rPr>
                <w:rFonts w:hint="default"/>
                <w:sz w:val="20"/>
                <w:szCs w:val="20"/>
                <w:lang w:eastAsia="ja-JP"/>
              </w:rPr>
              <w:t xml:space="preserve"> message, or by inheriting from another RAT at inter-RAT cell (re)selection</w:t>
            </w:r>
            <w:r>
              <w:rPr>
                <w:rFonts w:hint="default"/>
                <w:sz w:val="20"/>
                <w:szCs w:val="20"/>
              </w:rPr>
              <w:t xml:space="preserve">. In the case of system information, an E-UTRAN frequency or inter-RAT frequency may be listed without providing a priority (i.e. the field </w:t>
            </w:r>
            <w:r>
              <w:rPr>
                <w:rFonts w:hint="default"/>
                <w:i/>
                <w:sz w:val="20"/>
                <w:szCs w:val="20"/>
              </w:rPr>
              <w:t>cellReselectionPriority</w:t>
            </w:r>
            <w:r>
              <w:rPr>
                <w:rFonts w:hint="default"/>
                <w:sz w:val="20"/>
                <w:szCs w:val="20"/>
              </w:rPr>
              <w:t xml:space="preserve"> is absent for that frequency). If priorities are provided in</w:t>
            </w:r>
            <w:r>
              <w:rPr>
                <w:rFonts w:hint="default"/>
                <w:sz w:val="20"/>
                <w:szCs w:val="20"/>
                <w:lang w:eastAsia="ja-JP"/>
              </w:rPr>
              <w:t xml:space="preserve"> dedicated s</w:t>
            </w:r>
            <w:r>
              <w:rPr>
                <w:rFonts w:hint="default"/>
                <w:sz w:val="20"/>
                <w:szCs w:val="20"/>
              </w:rPr>
              <w:t xml:space="preserve">ignalling, the UE shall ignore all the priorities provided in system information. If UE is in </w:t>
            </w:r>
            <w:r>
              <w:rPr>
                <w:rFonts w:hint="default"/>
                <w:i/>
                <w:sz w:val="20"/>
                <w:szCs w:val="20"/>
              </w:rPr>
              <w:t>camped on any cell</w:t>
            </w:r>
            <w:r>
              <w:rPr>
                <w:rFonts w:hint="default"/>
                <w:sz w:val="20"/>
                <w:szCs w:val="20"/>
              </w:rPr>
              <w:t xml:space="preserve"> state, UE shall only apply the priorities provided by system information from current cell, and the UE preserves priorities provided by dedicated signalling </w:t>
            </w:r>
            <w:r>
              <w:rPr>
                <w:rFonts w:hint="default" w:eastAsia="宋体"/>
                <w:sz w:val="20"/>
                <w:szCs w:val="20"/>
                <w:lang w:eastAsia="zh-CN"/>
              </w:rPr>
              <w:t xml:space="preserve">and </w:t>
            </w:r>
            <w:r>
              <w:rPr>
                <w:rFonts w:hint="default"/>
                <w:i/>
                <w:sz w:val="20"/>
                <w:szCs w:val="20"/>
              </w:rPr>
              <w:t>deprioritisationReq</w:t>
            </w:r>
            <w:r>
              <w:rPr>
                <w:rFonts w:hint="default"/>
                <w:sz w:val="20"/>
                <w:szCs w:val="20"/>
              </w:rPr>
              <w:t xml:space="preserve"> </w:t>
            </w:r>
            <w:r>
              <w:rPr>
                <w:rFonts w:hint="default" w:eastAsia="宋体"/>
                <w:sz w:val="20"/>
                <w:szCs w:val="20"/>
                <w:lang w:eastAsia="zh-CN"/>
              </w:rPr>
              <w:t xml:space="preserve">received in </w:t>
            </w:r>
            <w:r>
              <w:rPr>
                <w:rFonts w:hint="default"/>
                <w:i/>
                <w:sz w:val="20"/>
                <w:szCs w:val="20"/>
                <w:lang w:eastAsia="zh-CN"/>
              </w:rPr>
              <w:t>RRCConnectionReject</w:t>
            </w:r>
            <w:r>
              <w:rPr>
                <w:rFonts w:hint="default"/>
                <w:sz w:val="20"/>
                <w:szCs w:val="20"/>
                <w:lang w:eastAsia="zh-CN"/>
              </w:rPr>
              <w:t xml:space="preserve"> </w:t>
            </w:r>
            <w:r>
              <w:rPr>
                <w:rFonts w:hint="default"/>
                <w:sz w:val="20"/>
                <w:szCs w:val="20"/>
              </w:rPr>
              <w:t xml:space="preserve">unless specified otherwise. When </w:t>
            </w:r>
            <w:r>
              <w:rPr>
                <w:rFonts w:hint="default"/>
                <w:sz w:val="20"/>
                <w:szCs w:val="20"/>
                <w:lang w:eastAsia="zh-CN"/>
              </w:rPr>
              <w:t xml:space="preserve">the UE in </w:t>
            </w:r>
            <w:r>
              <w:rPr>
                <w:rFonts w:hint="default"/>
                <w:i/>
                <w:sz w:val="20"/>
                <w:szCs w:val="20"/>
                <w:lang w:eastAsia="zh-CN"/>
              </w:rPr>
              <w:t>c</w:t>
            </w:r>
            <w:r>
              <w:rPr>
                <w:rFonts w:hint="default"/>
                <w:i/>
                <w:sz w:val="20"/>
                <w:szCs w:val="20"/>
              </w:rPr>
              <w:t xml:space="preserve">amped </w:t>
            </w:r>
            <w:r>
              <w:rPr>
                <w:rFonts w:hint="default"/>
                <w:i/>
                <w:sz w:val="20"/>
                <w:szCs w:val="20"/>
                <w:lang w:eastAsia="zh-CN"/>
              </w:rPr>
              <w:t>n</w:t>
            </w:r>
            <w:r>
              <w:rPr>
                <w:rFonts w:hint="default"/>
                <w:i/>
                <w:sz w:val="20"/>
                <w:szCs w:val="20"/>
              </w:rPr>
              <w:t>ormally</w:t>
            </w:r>
            <w:r>
              <w:rPr>
                <w:rFonts w:hint="default"/>
                <w:sz w:val="20"/>
                <w:szCs w:val="20"/>
                <w:lang w:eastAsia="zh-CN"/>
              </w:rPr>
              <w:t xml:space="preserve"> state, has only </w:t>
            </w:r>
            <w:r>
              <w:rPr>
                <w:rFonts w:hint="default"/>
                <w:sz w:val="20"/>
                <w:szCs w:val="20"/>
              </w:rPr>
              <w:t>dedicated priorities</w:t>
            </w:r>
            <w:r>
              <w:rPr>
                <w:rFonts w:hint="default"/>
                <w:sz w:val="20"/>
                <w:szCs w:val="20"/>
                <w:lang w:eastAsia="zh-CN"/>
              </w:rPr>
              <w:t xml:space="preserve"> other than for the current frequency, the UE shall consider the current </w:t>
            </w:r>
            <w:r>
              <w:rPr>
                <w:rFonts w:hint="default"/>
                <w:sz w:val="20"/>
                <w:szCs w:val="20"/>
              </w:rPr>
              <w:t xml:space="preserve">frequency to be the </w:t>
            </w:r>
            <w:r>
              <w:rPr>
                <w:rFonts w:hint="default"/>
                <w:sz w:val="20"/>
                <w:szCs w:val="20"/>
                <w:lang w:eastAsia="zh-CN"/>
              </w:rPr>
              <w:t>low</w:t>
            </w:r>
            <w:r>
              <w:rPr>
                <w:rFonts w:hint="default"/>
                <w:sz w:val="20"/>
                <w:szCs w:val="20"/>
              </w:rPr>
              <w:t xml:space="preserve">est priority frequency (i.e. </w:t>
            </w:r>
            <w:r>
              <w:rPr>
                <w:rFonts w:hint="default"/>
                <w:sz w:val="20"/>
                <w:szCs w:val="20"/>
                <w:lang w:eastAsia="zh-CN"/>
              </w:rPr>
              <w:t>low</w:t>
            </w:r>
            <w:r>
              <w:rPr>
                <w:rFonts w:hint="default"/>
                <w:sz w:val="20"/>
                <w:szCs w:val="20"/>
              </w:rPr>
              <w:t>er than any of the network configured values)</w:t>
            </w:r>
            <w:r>
              <w:rPr>
                <w:rFonts w:hint="default"/>
                <w:sz w:val="20"/>
                <w:szCs w:val="20"/>
                <w:lang w:eastAsia="zh-CN"/>
              </w:rPr>
              <w:t>. While the UE is camped on a suitable CSG cell</w:t>
            </w:r>
            <w:r>
              <w:rPr>
                <w:rFonts w:hint="default"/>
                <w:sz w:val="20"/>
                <w:szCs w:val="20"/>
              </w:rPr>
              <w:t xml:space="preserve"> in normal coverage</w:t>
            </w:r>
            <w:r>
              <w:rPr>
                <w:rFonts w:hint="default"/>
                <w:sz w:val="20"/>
                <w:szCs w:val="20"/>
                <w:lang w:eastAsia="zh-CN"/>
              </w:rPr>
              <w:t>,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w:t>
            </w:r>
            <w:r>
              <w:rPr>
                <w:rFonts w:hint="default"/>
                <w:color w:val="FF0000"/>
                <w:sz w:val="20"/>
                <w:szCs w:val="20"/>
                <w:lang w:eastAsia="zh-CN"/>
              </w:rPr>
              <w:t xml:space="preserve"> </w:t>
            </w:r>
            <w:r>
              <w:rPr>
                <w:rFonts w:hint="default"/>
                <w:color w:val="auto"/>
                <w:sz w:val="20"/>
                <w:szCs w:val="20"/>
                <w:lang w:eastAsia="zh-CN"/>
              </w:rPr>
              <w:t xml:space="preserve">If the UE capable of V2X sidelink communication is configured to perform V2X sidelink communication and can only perform the V2X sidelink communication while camping on a frequency, the UE may consider that frequency to be the highest </w:t>
            </w:r>
            <w:r>
              <w:rPr>
                <w:rFonts w:hint="default"/>
                <w:color w:val="auto"/>
                <w:sz w:val="20"/>
                <w:szCs w:val="20"/>
              </w:rP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Pr>
                <w:rFonts w:hint="default"/>
                <w:sz w:val="20"/>
                <w:szCs w:val="20"/>
              </w:rPr>
              <w:t xml:space="preserve"> If the UE capable of sidelink discovery is configured to</w:t>
            </w:r>
            <w:r>
              <w:rPr>
                <w:rFonts w:hint="default"/>
                <w:sz w:val="20"/>
                <w:szCs w:val="20"/>
                <w:lang w:eastAsia="zh-CN"/>
              </w:rPr>
              <w:t xml:space="preserve"> perform Public Safety related sidelink discovery and can only perform the Public Safety related sidelink discovery while camping on a frequency, the UE may consider that frequency to be the highest priority.</w:t>
            </w:r>
          </w:p>
          <w:p>
            <w:pPr>
              <w:pStyle w:val="64"/>
              <w:keepNext w:val="0"/>
              <w:widowControl/>
              <w:suppressLineNumbers w:val="0"/>
              <w:spacing w:before="0" w:beforeAutospacing="0" w:afterAutospacing="0"/>
              <w:ind w:right="0"/>
              <w:rPr>
                <w:rFonts w:hint="eastAsia"/>
                <w:sz w:val="20"/>
                <w:szCs w:val="20"/>
                <w:vertAlign w:val="baseline"/>
                <w:lang w:val="en-US" w:eastAsia="zh-CN"/>
              </w:rPr>
            </w:pPr>
            <w:r>
              <w:rPr>
                <w:rFonts w:hint="default"/>
                <w:sz w:val="20"/>
                <w:szCs w:val="20"/>
                <w:highlight w:val="cyan"/>
                <w:lang w:eastAsia="zh-CN"/>
              </w:rPr>
              <w:t>NOTE 1:</w:t>
            </w:r>
            <w:r>
              <w:rPr>
                <w:rFonts w:hint="default"/>
                <w:sz w:val="20"/>
                <w:szCs w:val="20"/>
                <w:highlight w:val="cyan"/>
                <w:lang w:eastAsia="zh-CN"/>
              </w:rPr>
              <w:tab/>
            </w:r>
            <w:r>
              <w:rPr>
                <w:rFonts w:hint="default"/>
                <w:sz w:val="20"/>
                <w:szCs w:val="20"/>
                <w:highlight w:val="cyan"/>
                <w:lang w:eastAsia="zh-CN"/>
              </w:rPr>
              <w:t>The prioritization among the frequencies which UE considers to be the highest priority frequency is left to UE implementation.</w:t>
            </w:r>
          </w:p>
        </w:tc>
      </w:tr>
    </w:tbl>
    <w:p>
      <w:pPr>
        <w:rPr>
          <w:rFonts w:hint="eastAsia"/>
          <w:lang w:val="en-US" w:eastAsia="zh-CN"/>
        </w:rPr>
      </w:pPr>
    </w:p>
    <w:p>
      <w:pPr>
        <w:rPr>
          <w:rFonts w:hint="eastAsia"/>
          <w:b/>
          <w:bCs/>
          <w:lang w:val="en-US" w:eastAsia="zh-CN"/>
        </w:rPr>
      </w:pPr>
      <w:r>
        <w:rPr>
          <w:rFonts w:hint="eastAsia"/>
          <w:b/>
          <w:bCs/>
          <w:lang w:val="en-US" w:eastAsia="zh-CN"/>
        </w:rPr>
        <w:t>Proposal 3: For the UE which can support both NR and LTE SL, the UE should anyway select the highest priority frequency, which can provide both NR and LTE RAT SL configuration, if such carrier existing.</w:t>
      </w:r>
    </w:p>
    <w:p>
      <w:pPr>
        <w:rPr>
          <w:rFonts w:hint="default"/>
          <w:b/>
          <w:bCs/>
          <w:lang w:val="en-US" w:eastAsia="zh-CN"/>
        </w:rPr>
      </w:pPr>
      <w:r>
        <w:rPr>
          <w:rFonts w:hint="eastAsia"/>
          <w:b/>
          <w:bCs/>
          <w:lang w:val="en-US" w:eastAsia="zh-CN"/>
        </w:rPr>
        <w:t>Proposal 4: For the UE which can support both NR and LTE SL, if the UE currently select to perform sidelink transmission on NR and/or LTE RAT, and there is no first prioritized carrier. Then it should be based on UE implementation to select one second prioritized carrier, which can only provide either NR or LTE RAT SL configuration.</w:t>
      </w:r>
    </w:p>
    <w:p>
      <w:pPr>
        <w:pStyle w:val="3"/>
        <w:rPr>
          <w:rFonts w:hint="eastAsia"/>
          <w:sz w:val="24"/>
          <w:szCs w:val="24"/>
          <w:lang w:val="en-US" w:eastAsia="zh-CN"/>
        </w:rPr>
      </w:pPr>
      <w:r>
        <w:rPr>
          <w:rFonts w:hint="eastAsia"/>
          <w:b w:val="0"/>
          <w:bCs w:val="0"/>
          <w:sz w:val="24"/>
          <w:szCs w:val="24"/>
          <w:lang w:val="en-US" w:eastAsia="zh-CN"/>
        </w:rPr>
        <w:t>coverage status rule</w:t>
      </w:r>
    </w:p>
    <w:p>
      <w:pPr>
        <w:rPr>
          <w:lang w:eastAsia="ko-KR"/>
        </w:rPr>
      </w:pPr>
      <w:r>
        <w:rPr>
          <w:rFonts w:hint="eastAsia"/>
          <w:lang w:val="en-US" w:eastAsia="zh-CN"/>
        </w:rPr>
        <w:t xml:space="preserve">In LTE V2X, </w:t>
      </w:r>
      <w:r>
        <w:rPr>
          <w:rFonts w:hint="eastAsia" w:eastAsia="宋体"/>
          <w:lang w:val="en-US" w:eastAsia="zh-CN"/>
        </w:rPr>
        <w:t>i</w:t>
      </w:r>
      <w:r>
        <w:t xml:space="preserve">f the UE </w:t>
      </w:r>
      <w:r>
        <w:rPr>
          <w:lang w:eastAsia="ko-KR"/>
        </w:rPr>
        <w:t xml:space="preserve">detects </w:t>
      </w:r>
      <w:r>
        <w:t>a</w:t>
      </w:r>
      <w:r>
        <w:rPr>
          <w:lang w:eastAsia="ko-KR"/>
        </w:rPr>
        <w:t>t least one</w:t>
      </w:r>
      <w:r>
        <w:t xml:space="preserve"> cell on the </w:t>
      </w:r>
      <w:r>
        <w:rPr>
          <w:lang w:eastAsia="ko-KR"/>
        </w:rPr>
        <w:t>frequency which UE is configured to perform V2X sidelink</w:t>
      </w:r>
      <w:r>
        <w:rPr>
          <w:rFonts w:hint="eastAsia" w:eastAsia="宋体"/>
          <w:lang w:val="en-US" w:eastAsia="zh-CN"/>
        </w:rPr>
        <w:t xml:space="preserve"> communication </w:t>
      </w:r>
      <w:r>
        <w:rPr>
          <w:lang w:eastAsia="ko-KR"/>
        </w:rPr>
        <w:t>on fulfilling</w:t>
      </w:r>
      <w:r>
        <w:t xml:space="preserve"> the S</w:t>
      </w:r>
      <w:r>
        <w:rPr>
          <w:lang w:eastAsia="ko-KR"/>
        </w:rPr>
        <w:t xml:space="preserve"> </w:t>
      </w:r>
      <w:r>
        <w:t>criteri</w:t>
      </w:r>
      <w:r>
        <w:rPr>
          <w:lang w:eastAsia="ko-KR"/>
        </w:rPr>
        <w:t>on</w:t>
      </w:r>
      <w:r>
        <w:t xml:space="preserve">, it shall consider itself to be </w:t>
      </w:r>
      <w:r>
        <w:rPr>
          <w:lang w:eastAsia="ko-KR"/>
        </w:rPr>
        <w:t xml:space="preserve">in-coverage for V2X </w:t>
      </w:r>
      <w:r>
        <w:rPr>
          <w:rFonts w:eastAsia="Malgun Gothic"/>
          <w:lang w:eastAsia="ko-KR"/>
        </w:rPr>
        <w:t>sidelink</w:t>
      </w:r>
      <w:r>
        <w:rPr>
          <w:lang w:eastAsia="ko-KR"/>
        </w:rPr>
        <w:t xml:space="preserve"> </w:t>
      </w:r>
      <w:r>
        <w:rPr>
          <w:rFonts w:hint="eastAsia" w:eastAsia="宋体"/>
          <w:lang w:val="en-US" w:eastAsia="zh-CN"/>
        </w:rPr>
        <w:t xml:space="preserve">communication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V2X </w:t>
      </w:r>
      <w:r>
        <w:rPr>
          <w:rFonts w:eastAsia="Malgun Gothic"/>
          <w:lang w:eastAsia="ko-KR"/>
        </w:rPr>
        <w:t>sidelink</w:t>
      </w:r>
      <w:r>
        <w:rPr>
          <w:lang w:eastAsia="ko-KR"/>
        </w:rPr>
        <w:t xml:space="preserve"> </w:t>
      </w:r>
      <w:r>
        <w:rPr>
          <w:rFonts w:hint="eastAsia" w:eastAsia="宋体"/>
          <w:lang w:val="en-US" w:eastAsia="zh-CN"/>
        </w:rPr>
        <w:t xml:space="preserve">communication </w:t>
      </w:r>
      <w:r>
        <w:rPr>
          <w:lang w:eastAsia="ko-KR"/>
        </w:rPr>
        <w:t>on that frequency.</w:t>
      </w:r>
      <w:r>
        <w:rPr>
          <w:rFonts w:hint="eastAsia" w:eastAsia="宋体"/>
          <w:lang w:val="en-US" w:eastAsia="zh-CN"/>
        </w:rPr>
        <w:t xml:space="preserve"> </w:t>
      </w:r>
      <w:r>
        <w:rPr>
          <w:lang w:eastAsia="ko-KR"/>
        </w:rPr>
        <w:t>If the UE has selected a cell on a non-serving frequency for V2X sidelink communication</w:t>
      </w:r>
      <w:r>
        <w:rPr>
          <w:rFonts w:hint="eastAsia" w:eastAsia="宋体"/>
          <w:lang w:val="en-US" w:eastAsia="zh-CN"/>
        </w:rPr>
        <w:t>,</w:t>
      </w:r>
      <w:r>
        <w:rPr>
          <w:lang w:eastAsia="ko-KR"/>
        </w:rPr>
        <w:t xml:space="preserve"> it </w:t>
      </w:r>
      <w:r>
        <w:t xml:space="preserve">shall </w:t>
      </w:r>
      <w:r>
        <w:rPr>
          <w:lang w:eastAsia="ko-KR"/>
        </w:rPr>
        <w:t>perform additional intra-frequency reselection process</w:t>
      </w:r>
      <w:r>
        <w:t xml:space="preserve"> to select </w:t>
      </w:r>
      <w:r>
        <w:rPr>
          <w:lang w:eastAsia="ko-KR"/>
        </w:rPr>
        <w:t xml:space="preserve">a better cell for </w:t>
      </w:r>
      <w:r>
        <w:rPr>
          <w:rFonts w:hint="eastAsia" w:eastAsia="宋体"/>
          <w:lang w:val="en-US" w:eastAsia="zh-CN"/>
        </w:rPr>
        <w:t xml:space="preserve">V2X </w:t>
      </w:r>
      <w:r>
        <w:rPr>
          <w:rFonts w:eastAsia="Malgun Gothic"/>
          <w:lang w:eastAsia="ko-KR"/>
        </w:rPr>
        <w:t>sidelink</w:t>
      </w:r>
      <w:r>
        <w:rPr>
          <w:lang w:eastAsia="ko-KR"/>
        </w:rPr>
        <w:t xml:space="preserve"> </w:t>
      </w:r>
      <w:r>
        <w:rPr>
          <w:rFonts w:hint="eastAsia" w:eastAsia="宋体"/>
          <w:lang w:val="en-US" w:eastAsia="zh-CN"/>
        </w:rPr>
        <w:t xml:space="preserve">communication </w:t>
      </w:r>
      <w:r>
        <w:rPr>
          <w:lang w:eastAsia="ko-KR"/>
        </w:rPr>
        <w:t>on that frequency.</w:t>
      </w:r>
    </w:p>
    <w:p>
      <w:pPr>
        <w:rPr>
          <w:rFonts w:hint="default"/>
          <w:b/>
          <w:bCs/>
          <w:lang w:val="en-US" w:eastAsia="zh-CN"/>
        </w:rPr>
      </w:pPr>
      <w:r>
        <w:rPr>
          <w:rFonts w:hint="eastAsia"/>
          <w:b/>
          <w:bCs/>
          <w:lang w:val="en-US" w:eastAsia="zh-CN"/>
        </w:rPr>
        <w:t>Observation 3: In LTE V2X, if UE cannot detect any cell on the selected carrier which fulfill S criteria, then the UE regard it is out of coverage on that carrier. On the other hand, if UE can detect any cell which fulfill S criteria, then the UE regard it is in coverage on that carrier.</w:t>
      </w:r>
    </w:p>
    <w:p>
      <w:pPr>
        <w:rPr>
          <w:rFonts w:hint="default"/>
          <w:lang w:val="en-US" w:eastAsia="zh-CN"/>
        </w:rPr>
      </w:pPr>
      <w:r>
        <w:rPr>
          <w:rFonts w:hint="eastAsia"/>
          <w:lang w:val="en-US" w:eastAsia="zh-CN"/>
        </w:rPr>
        <w:t>When it comes to NR V2X, such mechanism can be reused. Furthermore, considering that some NR V2X UE can support and is also configured by the upper layer both NR sidelink and LTE sidelink transmission. I</w:t>
      </w:r>
      <w:r>
        <w:t xml:space="preserve">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hint="eastAsia" w:eastAsia="宋体"/>
          <w:lang w:val="en-US" w:eastAsia="zh-CN"/>
        </w:rPr>
        <w:t xml:space="preserve">both NR and LTE </w:t>
      </w:r>
      <w:r>
        <w:rPr>
          <w:lang w:eastAsia="ko-KR"/>
        </w:rPr>
        <w:t>V2X sidelink</w:t>
      </w:r>
      <w:r>
        <w:rPr>
          <w:rFonts w:hint="eastAsia" w:eastAsia="宋体"/>
          <w:lang w:val="en-US" w:eastAsia="zh-CN"/>
        </w:rPr>
        <w:t xml:space="preserve"> communication </w:t>
      </w:r>
      <w:r>
        <w:rPr>
          <w:lang w:eastAsia="ko-KR"/>
        </w:rPr>
        <w:t>on fulfilling</w:t>
      </w:r>
      <w:r>
        <w:t xml:space="preserve"> the S</w:t>
      </w:r>
      <w:r>
        <w:rPr>
          <w:lang w:eastAsia="ko-KR"/>
        </w:rPr>
        <w:t xml:space="preserve"> </w:t>
      </w:r>
      <w:r>
        <w:t>criteri</w:t>
      </w:r>
      <w:r>
        <w:rPr>
          <w:lang w:eastAsia="ko-KR"/>
        </w:rPr>
        <w:t>on</w:t>
      </w:r>
      <w:r>
        <w:t xml:space="preserve">, it shall consider itself to be </w:t>
      </w:r>
      <w:r>
        <w:rPr>
          <w:lang w:eastAsia="ko-KR"/>
        </w:rPr>
        <w:t xml:space="preserve">in-coverage for </w:t>
      </w:r>
      <w:r>
        <w:rPr>
          <w:rFonts w:hint="eastAsia" w:eastAsia="宋体"/>
          <w:lang w:val="en-US" w:eastAsia="zh-CN"/>
        </w:rPr>
        <w:t xml:space="preserve">both NR and LTE </w:t>
      </w:r>
      <w:r>
        <w:rPr>
          <w:lang w:eastAsia="ko-KR"/>
        </w:rPr>
        <w:t xml:space="preserve">V2X </w:t>
      </w:r>
      <w:r>
        <w:rPr>
          <w:rFonts w:eastAsia="Malgun Gothic"/>
          <w:lang w:eastAsia="ko-KR"/>
        </w:rPr>
        <w:t>sidelink</w:t>
      </w:r>
      <w:r>
        <w:rPr>
          <w:lang w:eastAsia="ko-KR"/>
        </w:rPr>
        <w:t xml:space="preserve"> </w:t>
      </w:r>
      <w:r>
        <w:rPr>
          <w:rFonts w:hint="eastAsia" w:eastAsia="宋体"/>
          <w:lang w:val="en-US" w:eastAsia="zh-CN"/>
        </w:rPr>
        <w:t xml:space="preserve">communication </w:t>
      </w:r>
      <w:r>
        <w:rPr>
          <w:lang w:eastAsia="ko-KR"/>
        </w:rPr>
        <w:t>on that frequency</w:t>
      </w:r>
      <w:r>
        <w:t xml:space="preserve">. If the UE </w:t>
      </w:r>
      <w:r>
        <w:rPr>
          <w:lang w:eastAsia="ko-KR"/>
        </w:rPr>
        <w:t xml:space="preserve">cannot detect any </w:t>
      </w:r>
      <w:r>
        <w:t xml:space="preserve">cell on </w:t>
      </w:r>
      <w:r>
        <w:rPr>
          <w:lang w:eastAsia="ko-KR"/>
        </w:rPr>
        <w:t>th</w:t>
      </w:r>
      <w:r>
        <w:rPr>
          <w:rFonts w:hint="eastAsia" w:eastAsia="宋体"/>
          <w:lang w:val="en-US" w:eastAsia="zh-CN"/>
        </w:rPr>
        <w:t>e</w:t>
      </w:r>
      <w:r>
        <w:rPr>
          <w:lang w:eastAsia="ko-KR"/>
        </w:rPr>
        <w:t xml:space="preserve"> frequency which UE is configured to perform </w:t>
      </w:r>
      <w:r>
        <w:rPr>
          <w:rFonts w:hint="eastAsia" w:eastAsia="宋体"/>
          <w:lang w:val="en-US" w:eastAsia="zh-CN"/>
        </w:rPr>
        <w:t xml:space="preserve">both NR or LTE </w:t>
      </w:r>
      <w:r>
        <w:rPr>
          <w:lang w:eastAsia="ko-KR"/>
        </w:rPr>
        <w:t>V2X sidelink</w:t>
      </w:r>
      <w:r>
        <w:rPr>
          <w:rFonts w:hint="eastAsia" w:eastAsia="宋体"/>
          <w:lang w:val="en-US" w:eastAsia="zh-CN"/>
        </w:rPr>
        <w:t xml:space="preserve"> communication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hint="eastAsia" w:eastAsia="宋体"/>
          <w:lang w:val="en-US" w:eastAsia="zh-CN"/>
        </w:rPr>
        <w:t xml:space="preserve">NR or LTE </w:t>
      </w:r>
      <w:r>
        <w:rPr>
          <w:lang w:eastAsia="ko-KR"/>
        </w:rPr>
        <w:t xml:space="preserve">V2X </w:t>
      </w:r>
      <w:r>
        <w:rPr>
          <w:rFonts w:eastAsia="Malgun Gothic"/>
          <w:lang w:eastAsia="ko-KR"/>
        </w:rPr>
        <w:t>sidelink</w:t>
      </w:r>
      <w:r>
        <w:rPr>
          <w:lang w:eastAsia="ko-KR"/>
        </w:rPr>
        <w:t xml:space="preserve"> </w:t>
      </w:r>
      <w:r>
        <w:rPr>
          <w:rFonts w:hint="eastAsia" w:eastAsia="宋体"/>
          <w:lang w:val="en-US" w:eastAsia="zh-CN"/>
        </w:rPr>
        <w:t xml:space="preserve">communication </w:t>
      </w:r>
      <w:r>
        <w:rPr>
          <w:lang w:eastAsia="ko-KR"/>
        </w:rPr>
        <w:t>on that frequency.</w:t>
      </w:r>
      <w:r>
        <w:rPr>
          <w:rFonts w:hint="eastAsia"/>
          <w:lang w:val="en-US" w:eastAsia="zh-CN"/>
        </w:rPr>
        <w:t xml:space="preserve"> In a word, if the UE supports dual RAT and is authorized for dual RAT, then the UE should check its coverage statues for each RAT respectively.</w:t>
      </w:r>
    </w:p>
    <w:p>
      <w:pPr>
        <w:rPr>
          <w:rFonts w:hint="default"/>
          <w:lang w:val="en-US" w:eastAsia="zh-CN"/>
        </w:rPr>
      </w:pPr>
      <w:r>
        <w:rPr>
          <w:rFonts w:hint="eastAsia"/>
          <w:b/>
          <w:bCs/>
          <w:lang w:val="en-US" w:eastAsia="zh-CN"/>
        </w:rPr>
        <w:t>Proposal 5: In NR V2X, the legacy cell selection/reselection principle can be reused, but UE should check its coverage status for each RAT respectively.</w:t>
      </w:r>
    </w:p>
    <w:p>
      <w:pPr>
        <w:pStyle w:val="2"/>
      </w:pPr>
      <w:r>
        <w:t>Conclusion</w:t>
      </w:r>
    </w:p>
    <w:p>
      <w:pPr>
        <w:rPr>
          <w:rFonts w:hint="default" w:eastAsia="宋体"/>
          <w:lang w:val="en-US" w:eastAsia="zh-CN"/>
        </w:rPr>
      </w:pPr>
      <w:r>
        <w:rPr>
          <w:rFonts w:hint="eastAsia" w:eastAsia="宋体"/>
          <w:lang w:val="en-US" w:eastAsia="zh-CN"/>
        </w:rPr>
        <w:t>In this contribution, we have investigate on how to perform cell reselection for NR V2X UE, a brunch of proposals and observations have been made in the following:</w:t>
      </w:r>
    </w:p>
    <w:p>
      <w:pPr>
        <w:rPr>
          <w:rFonts w:hint="default"/>
          <w:b/>
          <w:bCs/>
          <w:lang w:val="en-US" w:eastAsia="zh-CN"/>
        </w:rPr>
      </w:pPr>
      <w:r>
        <w:rPr>
          <w:rFonts w:hint="eastAsia"/>
          <w:b/>
          <w:bCs/>
          <w:lang w:val="en-US" w:eastAsia="zh-CN"/>
        </w:rPr>
        <w:t>Observation 1: In LTE V2X, UE will consider those carriers which can provide V2X sidelink ocnfiguration or inter-carrier V2X sidelink configuration with highest priority.</w:t>
      </w:r>
    </w:p>
    <w:p>
      <w:pPr>
        <w:rPr>
          <w:rFonts w:hint="default"/>
          <w:b/>
          <w:bCs/>
          <w:lang w:val="en-US" w:eastAsia="zh-CN"/>
        </w:rPr>
      </w:pPr>
      <w:r>
        <w:rPr>
          <w:rFonts w:hint="eastAsia"/>
          <w:b/>
          <w:bCs/>
          <w:lang w:val="en-US" w:eastAsia="zh-CN"/>
        </w:rPr>
        <w:t>Observation 2: In NR V2X, there are two possible types of UE, which includes UEs that can only NR sidelink transmission, and UEs that can support both NR and LTE sidelink transmission.</w:t>
      </w:r>
    </w:p>
    <w:p>
      <w:pPr>
        <w:rPr>
          <w:rFonts w:hint="default"/>
          <w:b/>
          <w:bCs/>
          <w:lang w:val="en-US" w:eastAsia="zh-CN"/>
        </w:rPr>
      </w:pPr>
      <w:r>
        <w:rPr>
          <w:rFonts w:hint="eastAsia"/>
          <w:b/>
          <w:bCs/>
          <w:lang w:val="en-US" w:eastAsia="zh-CN"/>
        </w:rPr>
        <w:t>Proposal 1: For the NR UE which only supports NR sidelink communication, it should prioritize those carriers which can support NR V2X configuration.</w:t>
      </w:r>
    </w:p>
    <w:p>
      <w:pPr>
        <w:rPr>
          <w:rFonts w:hint="default"/>
          <w:b/>
          <w:bCs/>
          <w:lang w:val="en-US" w:eastAsia="zh-CN"/>
        </w:rPr>
      </w:pPr>
      <w:r>
        <w:rPr>
          <w:rFonts w:hint="eastAsia"/>
          <w:b/>
          <w:bCs/>
          <w:lang w:val="en-US" w:eastAsia="zh-CN"/>
        </w:rPr>
        <w:t>Proposal 2: For the NR UE which supports both NR and LTE sidelink communication, it should prioritize those carriers which can support both NR and LTE V2X configuration.</w:t>
      </w:r>
    </w:p>
    <w:p>
      <w:pPr>
        <w:rPr>
          <w:rFonts w:hint="eastAsia"/>
          <w:b/>
          <w:bCs/>
          <w:lang w:val="en-US" w:eastAsia="zh-CN"/>
        </w:rPr>
      </w:pPr>
      <w:r>
        <w:rPr>
          <w:rFonts w:hint="eastAsia"/>
          <w:b/>
          <w:bCs/>
          <w:lang w:val="en-US" w:eastAsia="zh-CN"/>
        </w:rPr>
        <w:t>Proposal 3: For the UE which can support both NR and LTE SL, the UE should anyway select the highest priority frequency, which can provide both NR and LTE RAT SL configuration, if such carrier existing.</w:t>
      </w:r>
    </w:p>
    <w:p>
      <w:pPr>
        <w:rPr>
          <w:rFonts w:hint="default"/>
          <w:b/>
          <w:bCs/>
          <w:lang w:val="en-US" w:eastAsia="zh-CN"/>
        </w:rPr>
      </w:pPr>
      <w:r>
        <w:rPr>
          <w:rFonts w:hint="eastAsia"/>
          <w:b/>
          <w:bCs/>
          <w:lang w:val="en-US" w:eastAsia="zh-CN"/>
        </w:rPr>
        <w:t>Proposal 4: For the UE which can support both NR and LTE SL, if the UE currently select to perform sidelink transmission on NR and/or LTE RAT, and there is no first prioritized carrier. Then it should be based on UE implementation to select one second prioritized carrier, which can only provide either NR or LTE RAT SL configuration.</w:t>
      </w:r>
    </w:p>
    <w:p>
      <w:r>
        <w:rPr>
          <w:rFonts w:hint="eastAsia"/>
          <w:b/>
          <w:bCs/>
          <w:lang w:val="en-US" w:eastAsia="zh-CN"/>
        </w:rPr>
        <w:t>Observation 3: In LTE V2X, if UE cannot detect any cell on the selected carrier which fulfill S criteria, then the UE regard it is out of coverage on that carrier. On the other hand, if UE can detect any cell which fulfill S criteria, then the UE regard it is in coverage on that carrier.</w:t>
      </w:r>
    </w:p>
    <w:p>
      <w:pPr>
        <w:rPr>
          <w:rFonts w:hint="default"/>
          <w:lang w:val="en-US" w:eastAsia="zh-CN"/>
        </w:rPr>
      </w:pPr>
      <w:r>
        <w:rPr>
          <w:rFonts w:hint="eastAsia"/>
          <w:b/>
          <w:bCs/>
          <w:lang w:val="en-US" w:eastAsia="zh-CN"/>
        </w:rPr>
        <w:t>Proposal 5: In NR V2X, the legacy cell selection/reselection principle can be reused, but UE should check its coverage status for each RAT respectively.</w:t>
      </w:r>
    </w:p>
    <w:p>
      <w:pPr>
        <w:pStyle w:val="2"/>
      </w:pPr>
      <w:bookmarkStart w:id="5" w:name="_In-sequence_SDU_delivery"/>
      <w:bookmarkEnd w:id="5"/>
      <w:bookmarkStart w:id="6" w:name="_Ref189809556"/>
      <w:bookmarkStart w:id="7" w:name="_Ref174151459"/>
      <w:bookmarkStart w:id="8" w:name="_Ref450865335"/>
      <w:r>
        <w:rPr>
          <w:rFonts w:hint="eastAsia"/>
        </w:rPr>
        <w:t>Reference</w:t>
      </w:r>
      <w:bookmarkEnd w:id="6"/>
      <w:bookmarkEnd w:id="7"/>
      <w:bookmarkEnd w:id="8"/>
    </w:p>
    <w:p>
      <w:pPr>
        <w:rPr>
          <w:rFonts w:hint="default"/>
          <w:lang w:val="en-US"/>
        </w:rPr>
      </w:pPr>
      <w:r>
        <w:rPr>
          <w:rFonts w:hint="eastAsia"/>
          <w:lang w:val="en-US" w:eastAsia="zh-CN"/>
        </w:rPr>
        <w:t>[1] TS36.304 User Equipment (UE) procedures in idle mode</w:t>
      </w:r>
    </w:p>
    <w:sectPr>
      <w:footerReference r:id="rId4" w:type="default"/>
      <w:headerReference r:id="rId3"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fldChar w:fldCharType="begin"/>
    </w:r>
    <w:r>
      <w:rPr>
        <w:rStyle w:val="47"/>
      </w:rPr>
      <w:instrText xml:space="preserve"> PAGE </w:instrText>
    </w:r>
    <w:r>
      <w:fldChar w:fldCharType="separate"/>
    </w:r>
    <w:r>
      <w:rPr>
        <w:rStyle w:val="47"/>
      </w:rPr>
      <w:t>1</w:t>
    </w:r>
    <w:r>
      <w:fldChar w:fldCharType="end"/>
    </w:r>
    <w:r>
      <w:rPr>
        <w:rStyle w:val="47"/>
      </w:rPr>
      <w:t>/</w:t>
    </w:r>
    <w:r>
      <w:fldChar w:fldCharType="begin"/>
    </w:r>
    <w:r>
      <w:rPr>
        <w:rStyle w:val="47"/>
      </w:rPr>
      <w:instrText xml:space="preserve"> NUMPAGES </w:instrText>
    </w:r>
    <w:r>
      <w:fldChar w:fldCharType="separate"/>
    </w:r>
    <w:r>
      <w:rPr>
        <w:rStyle w:val="47"/>
      </w:rPr>
      <w:t>8</w:t>
    </w:r>
    <w:r>
      <w:fldChar w:fldCharType="end"/>
    </w:r>
    <w:r>
      <w:rPr>
        <w:rStyle w:val="47"/>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7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5">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BDF65F6"/>
    <w:multiLevelType w:val="multilevel"/>
    <w:tmpl w:val="4BDF65F6"/>
    <w:lvl w:ilvl="0" w:tentative="0">
      <w:start w:val="1"/>
      <w:numFmt w:val="decimal"/>
      <w:pStyle w:val="6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5"/>
  </w:num>
  <w:num w:numId="5">
    <w:abstractNumId w:val="1"/>
  </w:num>
  <w:num w:numId="6">
    <w:abstractNumId w:val="4"/>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hyphenationZone w:val="360"/>
  <w:doNotHyphenateCaps/>
  <w:drawingGridHorizontalSpacing w:val="120"/>
  <w:drawingGridVerticalSpacing w:val="120"/>
  <w:displayHorizontalDrawingGridEvery w:val="0"/>
  <w:displayVerticalDrawingGridEvery w:val="2"/>
  <w:doNotUseMarginsForDrawingGridOrigin w:val="1"/>
  <w:drawingGridHorizontalOrigin w:val="1701"/>
  <w:drawingGridVerticalOrigin w:val="1984"/>
  <w:doNotShadeFormData w:val="1"/>
  <w:characterSpacingControl w:val="doNotCompress"/>
  <w:footnotePr>
    <w:numRestart w:val="eachSect"/>
  </w:footnotePr>
  <w:compat>
    <w:spaceForUL/>
    <w:balanceSingleByteDoubleByteWidth/>
    <w:doNotLeaveBackslashAlone/>
    <w:ulTrailSpace/>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gFAMEAQCotAAAA"/>
  </w:docVars>
  <w:rsids>
    <w:rsidRoot w:val="002804D3"/>
    <w:rsid w:val="000006E1"/>
    <w:rsid w:val="000013AA"/>
    <w:rsid w:val="00002A37"/>
    <w:rsid w:val="00003520"/>
    <w:rsid w:val="00003772"/>
    <w:rsid w:val="00006446"/>
    <w:rsid w:val="00006896"/>
    <w:rsid w:val="00007CDC"/>
    <w:rsid w:val="00011B28"/>
    <w:rsid w:val="00013653"/>
    <w:rsid w:val="00015D15"/>
    <w:rsid w:val="0002343A"/>
    <w:rsid w:val="0002564D"/>
    <w:rsid w:val="00025ECA"/>
    <w:rsid w:val="0003189F"/>
    <w:rsid w:val="000325B8"/>
    <w:rsid w:val="00034C15"/>
    <w:rsid w:val="0003688D"/>
    <w:rsid w:val="00036BA1"/>
    <w:rsid w:val="00036DE5"/>
    <w:rsid w:val="000422E2"/>
    <w:rsid w:val="00042604"/>
    <w:rsid w:val="00042F22"/>
    <w:rsid w:val="000444EF"/>
    <w:rsid w:val="000460BB"/>
    <w:rsid w:val="00046189"/>
    <w:rsid w:val="00046743"/>
    <w:rsid w:val="00047EB3"/>
    <w:rsid w:val="00052A07"/>
    <w:rsid w:val="000534E3"/>
    <w:rsid w:val="000559BF"/>
    <w:rsid w:val="0005606A"/>
    <w:rsid w:val="00057117"/>
    <w:rsid w:val="000616E7"/>
    <w:rsid w:val="000625B5"/>
    <w:rsid w:val="0006487E"/>
    <w:rsid w:val="00064D00"/>
    <w:rsid w:val="00065E1A"/>
    <w:rsid w:val="00067DC4"/>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24C1"/>
    <w:rsid w:val="000924F0"/>
    <w:rsid w:val="00093474"/>
    <w:rsid w:val="000934A5"/>
    <w:rsid w:val="0009493B"/>
    <w:rsid w:val="0009510F"/>
    <w:rsid w:val="00097F12"/>
    <w:rsid w:val="000A1B7B"/>
    <w:rsid w:val="000A56F2"/>
    <w:rsid w:val="000A74D2"/>
    <w:rsid w:val="000B190F"/>
    <w:rsid w:val="000B1999"/>
    <w:rsid w:val="000B2719"/>
    <w:rsid w:val="000B3A8F"/>
    <w:rsid w:val="000B4AB9"/>
    <w:rsid w:val="000B4D98"/>
    <w:rsid w:val="000B58C3"/>
    <w:rsid w:val="000B61E9"/>
    <w:rsid w:val="000B6DAB"/>
    <w:rsid w:val="000C165A"/>
    <w:rsid w:val="000C2E19"/>
    <w:rsid w:val="000C3E70"/>
    <w:rsid w:val="000C47E7"/>
    <w:rsid w:val="000C66FC"/>
    <w:rsid w:val="000D0220"/>
    <w:rsid w:val="000D0D07"/>
    <w:rsid w:val="000D3FD1"/>
    <w:rsid w:val="000D4797"/>
    <w:rsid w:val="000D623A"/>
    <w:rsid w:val="000E0527"/>
    <w:rsid w:val="000E1E92"/>
    <w:rsid w:val="000E4C76"/>
    <w:rsid w:val="000F0513"/>
    <w:rsid w:val="000F06D6"/>
    <w:rsid w:val="000F0C1D"/>
    <w:rsid w:val="000F0C49"/>
    <w:rsid w:val="000F0EB1"/>
    <w:rsid w:val="000F1106"/>
    <w:rsid w:val="000F28C0"/>
    <w:rsid w:val="000F2A33"/>
    <w:rsid w:val="000F389A"/>
    <w:rsid w:val="000F3BE9"/>
    <w:rsid w:val="000F3F6C"/>
    <w:rsid w:val="000F6DF3"/>
    <w:rsid w:val="001005C4"/>
    <w:rsid w:val="001005FF"/>
    <w:rsid w:val="00100B27"/>
    <w:rsid w:val="00102EE4"/>
    <w:rsid w:val="001062FB"/>
    <w:rsid w:val="001063E6"/>
    <w:rsid w:val="001110A6"/>
    <w:rsid w:val="001129A9"/>
    <w:rsid w:val="00113CF4"/>
    <w:rsid w:val="00114A7A"/>
    <w:rsid w:val="001153EA"/>
    <w:rsid w:val="00115643"/>
    <w:rsid w:val="00116765"/>
    <w:rsid w:val="001219F5"/>
    <w:rsid w:val="00121A20"/>
    <w:rsid w:val="0012377F"/>
    <w:rsid w:val="00124314"/>
    <w:rsid w:val="00125154"/>
    <w:rsid w:val="00126B4A"/>
    <w:rsid w:val="00132085"/>
    <w:rsid w:val="00132FD0"/>
    <w:rsid w:val="001344C0"/>
    <w:rsid w:val="001346FA"/>
    <w:rsid w:val="00134981"/>
    <w:rsid w:val="00135252"/>
    <w:rsid w:val="00136B2C"/>
    <w:rsid w:val="00137AB5"/>
    <w:rsid w:val="00137F0B"/>
    <w:rsid w:val="00142EB5"/>
    <w:rsid w:val="0014574E"/>
    <w:rsid w:val="001464F7"/>
    <w:rsid w:val="00147819"/>
    <w:rsid w:val="0015176A"/>
    <w:rsid w:val="00151CF9"/>
    <w:rsid w:val="00151E23"/>
    <w:rsid w:val="001526E0"/>
    <w:rsid w:val="001551B5"/>
    <w:rsid w:val="0015739D"/>
    <w:rsid w:val="001605D8"/>
    <w:rsid w:val="001649DF"/>
    <w:rsid w:val="00165545"/>
    <w:rsid w:val="001659C1"/>
    <w:rsid w:val="00166588"/>
    <w:rsid w:val="00166BB5"/>
    <w:rsid w:val="001710FA"/>
    <w:rsid w:val="00173A8E"/>
    <w:rsid w:val="00176A65"/>
    <w:rsid w:val="0018143F"/>
    <w:rsid w:val="00183C22"/>
    <w:rsid w:val="00190AC1"/>
    <w:rsid w:val="0019234F"/>
    <w:rsid w:val="0019341A"/>
    <w:rsid w:val="00193C64"/>
    <w:rsid w:val="00196086"/>
    <w:rsid w:val="00197DF9"/>
    <w:rsid w:val="001A1987"/>
    <w:rsid w:val="001A2489"/>
    <w:rsid w:val="001A2564"/>
    <w:rsid w:val="001A6173"/>
    <w:rsid w:val="001A6CBA"/>
    <w:rsid w:val="001B05F9"/>
    <w:rsid w:val="001B0D97"/>
    <w:rsid w:val="001B5A5D"/>
    <w:rsid w:val="001C1CE5"/>
    <w:rsid w:val="001C3D2A"/>
    <w:rsid w:val="001D179D"/>
    <w:rsid w:val="001D3403"/>
    <w:rsid w:val="001D51BA"/>
    <w:rsid w:val="001D6342"/>
    <w:rsid w:val="001D6D53"/>
    <w:rsid w:val="001E03C9"/>
    <w:rsid w:val="001E1125"/>
    <w:rsid w:val="001E1216"/>
    <w:rsid w:val="001E1805"/>
    <w:rsid w:val="001E39D7"/>
    <w:rsid w:val="001E58E2"/>
    <w:rsid w:val="001E7AED"/>
    <w:rsid w:val="001F3916"/>
    <w:rsid w:val="001F3E89"/>
    <w:rsid w:val="001F54C5"/>
    <w:rsid w:val="001F662C"/>
    <w:rsid w:val="001F7074"/>
    <w:rsid w:val="001F79DB"/>
    <w:rsid w:val="001F7A7C"/>
    <w:rsid w:val="00200490"/>
    <w:rsid w:val="00200B47"/>
    <w:rsid w:val="00201F3A"/>
    <w:rsid w:val="00202E05"/>
    <w:rsid w:val="00203F96"/>
    <w:rsid w:val="002069B2"/>
    <w:rsid w:val="00207FA3"/>
    <w:rsid w:val="00210F3F"/>
    <w:rsid w:val="00211097"/>
    <w:rsid w:val="00214316"/>
    <w:rsid w:val="00214DA8"/>
    <w:rsid w:val="00215423"/>
    <w:rsid w:val="002158FA"/>
    <w:rsid w:val="00220600"/>
    <w:rsid w:val="00220F69"/>
    <w:rsid w:val="002224DB"/>
    <w:rsid w:val="00223FCB"/>
    <w:rsid w:val="002252C3"/>
    <w:rsid w:val="00225C54"/>
    <w:rsid w:val="00230765"/>
    <w:rsid w:val="002319E4"/>
    <w:rsid w:val="00235632"/>
    <w:rsid w:val="00235872"/>
    <w:rsid w:val="002368D8"/>
    <w:rsid w:val="00241559"/>
    <w:rsid w:val="002435B3"/>
    <w:rsid w:val="00244D53"/>
    <w:rsid w:val="002458EB"/>
    <w:rsid w:val="00246CE1"/>
    <w:rsid w:val="002500C8"/>
    <w:rsid w:val="002507A9"/>
    <w:rsid w:val="00256FFB"/>
    <w:rsid w:val="00257543"/>
    <w:rsid w:val="002617E7"/>
    <w:rsid w:val="00262C31"/>
    <w:rsid w:val="00264228"/>
    <w:rsid w:val="00264334"/>
    <w:rsid w:val="0026473E"/>
    <w:rsid w:val="0026486C"/>
    <w:rsid w:val="00264F75"/>
    <w:rsid w:val="00266214"/>
    <w:rsid w:val="00266BD5"/>
    <w:rsid w:val="00267C83"/>
    <w:rsid w:val="002700A1"/>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5790"/>
    <w:rsid w:val="00286ACD"/>
    <w:rsid w:val="00287838"/>
    <w:rsid w:val="002907B5"/>
    <w:rsid w:val="00290CBE"/>
    <w:rsid w:val="00292EB7"/>
    <w:rsid w:val="0029425C"/>
    <w:rsid w:val="00294B7B"/>
    <w:rsid w:val="00296227"/>
    <w:rsid w:val="00296F44"/>
    <w:rsid w:val="0029777D"/>
    <w:rsid w:val="002A055E"/>
    <w:rsid w:val="002A0D2D"/>
    <w:rsid w:val="002A134C"/>
    <w:rsid w:val="002A1D4E"/>
    <w:rsid w:val="002A2072"/>
    <w:rsid w:val="002A2869"/>
    <w:rsid w:val="002A517B"/>
    <w:rsid w:val="002A630C"/>
    <w:rsid w:val="002B15AC"/>
    <w:rsid w:val="002B24D6"/>
    <w:rsid w:val="002B333E"/>
    <w:rsid w:val="002B56AF"/>
    <w:rsid w:val="002B63A8"/>
    <w:rsid w:val="002C038A"/>
    <w:rsid w:val="002C3E91"/>
    <w:rsid w:val="002C41E6"/>
    <w:rsid w:val="002C7540"/>
    <w:rsid w:val="002D071A"/>
    <w:rsid w:val="002D34B2"/>
    <w:rsid w:val="002D42BD"/>
    <w:rsid w:val="002D7637"/>
    <w:rsid w:val="002E17F2"/>
    <w:rsid w:val="002E27A3"/>
    <w:rsid w:val="002E7C4D"/>
    <w:rsid w:val="002E7CAE"/>
    <w:rsid w:val="002F2771"/>
    <w:rsid w:val="002F37A9"/>
    <w:rsid w:val="002F671E"/>
    <w:rsid w:val="002F69B6"/>
    <w:rsid w:val="00300832"/>
    <w:rsid w:val="00301CE6"/>
    <w:rsid w:val="00301E69"/>
    <w:rsid w:val="0030256B"/>
    <w:rsid w:val="003034C3"/>
    <w:rsid w:val="0030501F"/>
    <w:rsid w:val="003066C7"/>
    <w:rsid w:val="00307BA1"/>
    <w:rsid w:val="00307D2A"/>
    <w:rsid w:val="00311702"/>
    <w:rsid w:val="00311E82"/>
    <w:rsid w:val="0031212E"/>
    <w:rsid w:val="00313FD6"/>
    <w:rsid w:val="003143BD"/>
    <w:rsid w:val="00315DCE"/>
    <w:rsid w:val="003203ED"/>
    <w:rsid w:val="00321CCD"/>
    <w:rsid w:val="00322C9F"/>
    <w:rsid w:val="00324D23"/>
    <w:rsid w:val="00327028"/>
    <w:rsid w:val="00331751"/>
    <w:rsid w:val="00332576"/>
    <w:rsid w:val="00334579"/>
    <w:rsid w:val="00334DA1"/>
    <w:rsid w:val="003350B7"/>
    <w:rsid w:val="0033575F"/>
    <w:rsid w:val="00335858"/>
    <w:rsid w:val="00336BDA"/>
    <w:rsid w:val="00342BD7"/>
    <w:rsid w:val="00346DB5"/>
    <w:rsid w:val="0034711D"/>
    <w:rsid w:val="003477B1"/>
    <w:rsid w:val="00354EB9"/>
    <w:rsid w:val="00355060"/>
    <w:rsid w:val="00357380"/>
    <w:rsid w:val="003600F7"/>
    <w:rsid w:val="003602D9"/>
    <w:rsid w:val="003604CE"/>
    <w:rsid w:val="00360A36"/>
    <w:rsid w:val="00360DB3"/>
    <w:rsid w:val="00363E88"/>
    <w:rsid w:val="0036658C"/>
    <w:rsid w:val="00370E47"/>
    <w:rsid w:val="00371DB1"/>
    <w:rsid w:val="00372591"/>
    <w:rsid w:val="003742AC"/>
    <w:rsid w:val="003746F2"/>
    <w:rsid w:val="00377CE1"/>
    <w:rsid w:val="00385BF0"/>
    <w:rsid w:val="00387B94"/>
    <w:rsid w:val="003939FF"/>
    <w:rsid w:val="003A2223"/>
    <w:rsid w:val="003A2294"/>
    <w:rsid w:val="003A2A0F"/>
    <w:rsid w:val="003A2C9F"/>
    <w:rsid w:val="003A45A1"/>
    <w:rsid w:val="003A5154"/>
    <w:rsid w:val="003A5B0A"/>
    <w:rsid w:val="003A6BAC"/>
    <w:rsid w:val="003A7EF3"/>
    <w:rsid w:val="003B159C"/>
    <w:rsid w:val="003B369F"/>
    <w:rsid w:val="003B36A3"/>
    <w:rsid w:val="003B7FE5"/>
    <w:rsid w:val="003C041A"/>
    <w:rsid w:val="003C0464"/>
    <w:rsid w:val="003C11C8"/>
    <w:rsid w:val="003C19DA"/>
    <w:rsid w:val="003C2702"/>
    <w:rsid w:val="003C7806"/>
    <w:rsid w:val="003D000C"/>
    <w:rsid w:val="003D109F"/>
    <w:rsid w:val="003D2478"/>
    <w:rsid w:val="003D2D2D"/>
    <w:rsid w:val="003D31A8"/>
    <w:rsid w:val="003D3C45"/>
    <w:rsid w:val="003D5B1F"/>
    <w:rsid w:val="003E15FA"/>
    <w:rsid w:val="003E2EC0"/>
    <w:rsid w:val="003E4DD3"/>
    <w:rsid w:val="003E55E4"/>
    <w:rsid w:val="003E74E3"/>
    <w:rsid w:val="003F05C7"/>
    <w:rsid w:val="003F1455"/>
    <w:rsid w:val="003F2CD4"/>
    <w:rsid w:val="003F435A"/>
    <w:rsid w:val="003F6BBE"/>
    <w:rsid w:val="003F7A9A"/>
    <w:rsid w:val="004000E8"/>
    <w:rsid w:val="00400664"/>
    <w:rsid w:val="00402E2B"/>
    <w:rsid w:val="0040512B"/>
    <w:rsid w:val="00405CA5"/>
    <w:rsid w:val="00406283"/>
    <w:rsid w:val="00407CD3"/>
    <w:rsid w:val="00410134"/>
    <w:rsid w:val="00410B72"/>
    <w:rsid w:val="00410F18"/>
    <w:rsid w:val="0041263E"/>
    <w:rsid w:val="00413AAC"/>
    <w:rsid w:val="00413E92"/>
    <w:rsid w:val="00417191"/>
    <w:rsid w:val="00420541"/>
    <w:rsid w:val="00421105"/>
    <w:rsid w:val="004242F4"/>
    <w:rsid w:val="00425B88"/>
    <w:rsid w:val="00425ECE"/>
    <w:rsid w:val="00427248"/>
    <w:rsid w:val="0043085D"/>
    <w:rsid w:val="00432003"/>
    <w:rsid w:val="00435E43"/>
    <w:rsid w:val="00437320"/>
    <w:rsid w:val="00437447"/>
    <w:rsid w:val="00441A92"/>
    <w:rsid w:val="00444F56"/>
    <w:rsid w:val="00446488"/>
    <w:rsid w:val="004517AA"/>
    <w:rsid w:val="00452CAC"/>
    <w:rsid w:val="00452F3E"/>
    <w:rsid w:val="00457565"/>
    <w:rsid w:val="00457B71"/>
    <w:rsid w:val="004652FD"/>
    <w:rsid w:val="004669E2"/>
    <w:rsid w:val="0047042B"/>
    <w:rsid w:val="00470C31"/>
    <w:rsid w:val="004734D0"/>
    <w:rsid w:val="0047556B"/>
    <w:rsid w:val="00477768"/>
    <w:rsid w:val="00483F9B"/>
    <w:rsid w:val="00487631"/>
    <w:rsid w:val="00490DE1"/>
    <w:rsid w:val="004914F8"/>
    <w:rsid w:val="00492BC5"/>
    <w:rsid w:val="00495A0E"/>
    <w:rsid w:val="004964F1"/>
    <w:rsid w:val="00496ABA"/>
    <w:rsid w:val="004A16BC"/>
    <w:rsid w:val="004A2B94"/>
    <w:rsid w:val="004B7C0C"/>
    <w:rsid w:val="004C3898"/>
    <w:rsid w:val="004C48E0"/>
    <w:rsid w:val="004C6785"/>
    <w:rsid w:val="004C6FC1"/>
    <w:rsid w:val="004C72EA"/>
    <w:rsid w:val="004D0800"/>
    <w:rsid w:val="004D0D14"/>
    <w:rsid w:val="004D0DDC"/>
    <w:rsid w:val="004D36B1"/>
    <w:rsid w:val="004D3F54"/>
    <w:rsid w:val="004D6241"/>
    <w:rsid w:val="004D7EBD"/>
    <w:rsid w:val="004E143B"/>
    <w:rsid w:val="004E2680"/>
    <w:rsid w:val="004E28F9"/>
    <w:rsid w:val="004E462E"/>
    <w:rsid w:val="004E4E16"/>
    <w:rsid w:val="004E56DC"/>
    <w:rsid w:val="004E6666"/>
    <w:rsid w:val="004E76F4"/>
    <w:rsid w:val="004F0B4E"/>
    <w:rsid w:val="004F0B6C"/>
    <w:rsid w:val="004F2078"/>
    <w:rsid w:val="004F4DA3"/>
    <w:rsid w:val="004F7C46"/>
    <w:rsid w:val="00506557"/>
    <w:rsid w:val="0050677A"/>
    <w:rsid w:val="005075DA"/>
    <w:rsid w:val="005108D8"/>
    <w:rsid w:val="005116F9"/>
    <w:rsid w:val="00511892"/>
    <w:rsid w:val="005153A7"/>
    <w:rsid w:val="0052111C"/>
    <w:rsid w:val="005219CF"/>
    <w:rsid w:val="00526A2C"/>
    <w:rsid w:val="005305B2"/>
    <w:rsid w:val="00530643"/>
    <w:rsid w:val="00534B59"/>
    <w:rsid w:val="00536759"/>
    <w:rsid w:val="005367A0"/>
    <w:rsid w:val="00537C62"/>
    <w:rsid w:val="00542BCE"/>
    <w:rsid w:val="00546970"/>
    <w:rsid w:val="005519EC"/>
    <w:rsid w:val="00552585"/>
    <w:rsid w:val="00554E19"/>
    <w:rsid w:val="0056121F"/>
    <w:rsid w:val="00571053"/>
    <w:rsid w:val="0057126F"/>
    <w:rsid w:val="00572505"/>
    <w:rsid w:val="00577405"/>
    <w:rsid w:val="00582809"/>
    <w:rsid w:val="0058798C"/>
    <w:rsid w:val="005900FA"/>
    <w:rsid w:val="005935A4"/>
    <w:rsid w:val="00593C92"/>
    <w:rsid w:val="005948C2"/>
    <w:rsid w:val="00595DCA"/>
    <w:rsid w:val="005975B0"/>
    <w:rsid w:val="0059779B"/>
    <w:rsid w:val="005A011C"/>
    <w:rsid w:val="005A209A"/>
    <w:rsid w:val="005A4796"/>
    <w:rsid w:val="005A662D"/>
    <w:rsid w:val="005B021E"/>
    <w:rsid w:val="005B1FE1"/>
    <w:rsid w:val="005B35D7"/>
    <w:rsid w:val="005B392A"/>
    <w:rsid w:val="005B3AA3"/>
    <w:rsid w:val="005B440E"/>
    <w:rsid w:val="005B44FC"/>
    <w:rsid w:val="005B50DB"/>
    <w:rsid w:val="005B6F83"/>
    <w:rsid w:val="005C0A0D"/>
    <w:rsid w:val="005C74FB"/>
    <w:rsid w:val="005D1602"/>
    <w:rsid w:val="005E08E8"/>
    <w:rsid w:val="005E1909"/>
    <w:rsid w:val="005E385F"/>
    <w:rsid w:val="005E3BDB"/>
    <w:rsid w:val="005E5B81"/>
    <w:rsid w:val="005E670F"/>
    <w:rsid w:val="005E681B"/>
    <w:rsid w:val="005F0B13"/>
    <w:rsid w:val="005F1237"/>
    <w:rsid w:val="005F2CB1"/>
    <w:rsid w:val="005F3025"/>
    <w:rsid w:val="005F501E"/>
    <w:rsid w:val="005F618C"/>
    <w:rsid w:val="005F70BD"/>
    <w:rsid w:val="005F7A07"/>
    <w:rsid w:val="005F7E30"/>
    <w:rsid w:val="005F7E8C"/>
    <w:rsid w:val="00600AEC"/>
    <w:rsid w:val="0060283C"/>
    <w:rsid w:val="006039AD"/>
    <w:rsid w:val="00603E6B"/>
    <w:rsid w:val="00604F14"/>
    <w:rsid w:val="006056EA"/>
    <w:rsid w:val="00607430"/>
    <w:rsid w:val="00611B83"/>
    <w:rsid w:val="00613257"/>
    <w:rsid w:val="0061342C"/>
    <w:rsid w:val="00614358"/>
    <w:rsid w:val="006146CE"/>
    <w:rsid w:val="00620A71"/>
    <w:rsid w:val="00620D80"/>
    <w:rsid w:val="006234A6"/>
    <w:rsid w:val="00623A29"/>
    <w:rsid w:val="00630001"/>
    <w:rsid w:val="006311B3"/>
    <w:rsid w:val="0063284C"/>
    <w:rsid w:val="00632BE1"/>
    <w:rsid w:val="00636398"/>
    <w:rsid w:val="006368D3"/>
    <w:rsid w:val="006377EC"/>
    <w:rsid w:val="0064151F"/>
    <w:rsid w:val="00641533"/>
    <w:rsid w:val="0064208D"/>
    <w:rsid w:val="00643475"/>
    <w:rsid w:val="0064396A"/>
    <w:rsid w:val="0064624E"/>
    <w:rsid w:val="00650AB9"/>
    <w:rsid w:val="00655733"/>
    <w:rsid w:val="00655ACD"/>
    <w:rsid w:val="00656A92"/>
    <w:rsid w:val="00656B04"/>
    <w:rsid w:val="00656DDE"/>
    <w:rsid w:val="0066011D"/>
    <w:rsid w:val="00660501"/>
    <w:rsid w:val="006607C0"/>
    <w:rsid w:val="00660879"/>
    <w:rsid w:val="006613A6"/>
    <w:rsid w:val="00662289"/>
    <w:rsid w:val="006627A2"/>
    <w:rsid w:val="006634E6"/>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81003"/>
    <w:rsid w:val="006817C9"/>
    <w:rsid w:val="00681F33"/>
    <w:rsid w:val="00683104"/>
    <w:rsid w:val="00683ECE"/>
    <w:rsid w:val="00685123"/>
    <w:rsid w:val="006864D9"/>
    <w:rsid w:val="00691612"/>
    <w:rsid w:val="00695FC2"/>
    <w:rsid w:val="00696949"/>
    <w:rsid w:val="00697052"/>
    <w:rsid w:val="006A0B10"/>
    <w:rsid w:val="006A46FB"/>
    <w:rsid w:val="006A5D28"/>
    <w:rsid w:val="006A5E28"/>
    <w:rsid w:val="006A697B"/>
    <w:rsid w:val="006A7AFF"/>
    <w:rsid w:val="006B11DD"/>
    <w:rsid w:val="006B1816"/>
    <w:rsid w:val="006B2099"/>
    <w:rsid w:val="006B50CF"/>
    <w:rsid w:val="006B52BE"/>
    <w:rsid w:val="006B5412"/>
    <w:rsid w:val="006C02F0"/>
    <w:rsid w:val="006C03B8"/>
    <w:rsid w:val="006C1DB4"/>
    <w:rsid w:val="006C3EF3"/>
    <w:rsid w:val="006C5EC9"/>
    <w:rsid w:val="006C6059"/>
    <w:rsid w:val="006C7522"/>
    <w:rsid w:val="006D3554"/>
    <w:rsid w:val="006D6F08"/>
    <w:rsid w:val="006E062C"/>
    <w:rsid w:val="006E28B7"/>
    <w:rsid w:val="006E3310"/>
    <w:rsid w:val="006E4E39"/>
    <w:rsid w:val="006E565E"/>
    <w:rsid w:val="006E5F94"/>
    <w:rsid w:val="006E673D"/>
    <w:rsid w:val="006E7D3B"/>
    <w:rsid w:val="006F1B70"/>
    <w:rsid w:val="006F22CA"/>
    <w:rsid w:val="006F341D"/>
    <w:rsid w:val="006F3620"/>
    <w:rsid w:val="006F37B0"/>
    <w:rsid w:val="006F3CDE"/>
    <w:rsid w:val="006F4FDE"/>
    <w:rsid w:val="006F58D4"/>
    <w:rsid w:val="006F5AFE"/>
    <w:rsid w:val="00700A9B"/>
    <w:rsid w:val="0070104C"/>
    <w:rsid w:val="007020A0"/>
    <w:rsid w:val="0070346E"/>
    <w:rsid w:val="00703CA3"/>
    <w:rsid w:val="00704EDB"/>
    <w:rsid w:val="00706101"/>
    <w:rsid w:val="0070619D"/>
    <w:rsid w:val="00707072"/>
    <w:rsid w:val="00707D61"/>
    <w:rsid w:val="00712287"/>
    <w:rsid w:val="00712772"/>
    <w:rsid w:val="00712CF6"/>
    <w:rsid w:val="007130D6"/>
    <w:rsid w:val="00713AEA"/>
    <w:rsid w:val="00713D85"/>
    <w:rsid w:val="00713DF7"/>
    <w:rsid w:val="007148D3"/>
    <w:rsid w:val="00715B9A"/>
    <w:rsid w:val="00726EA6"/>
    <w:rsid w:val="00727208"/>
    <w:rsid w:val="00727680"/>
    <w:rsid w:val="00730CBE"/>
    <w:rsid w:val="007348B1"/>
    <w:rsid w:val="007362A6"/>
    <w:rsid w:val="00736D7D"/>
    <w:rsid w:val="007375F2"/>
    <w:rsid w:val="00740E58"/>
    <w:rsid w:val="00743630"/>
    <w:rsid w:val="007445A0"/>
    <w:rsid w:val="0074524B"/>
    <w:rsid w:val="00747D8B"/>
    <w:rsid w:val="007504C4"/>
    <w:rsid w:val="00751228"/>
    <w:rsid w:val="00752273"/>
    <w:rsid w:val="007571E1"/>
    <w:rsid w:val="007604B2"/>
    <w:rsid w:val="007605F1"/>
    <w:rsid w:val="00761562"/>
    <w:rsid w:val="0076372E"/>
    <w:rsid w:val="007646C0"/>
    <w:rsid w:val="00764B6E"/>
    <w:rsid w:val="00765281"/>
    <w:rsid w:val="0076588A"/>
    <w:rsid w:val="00766BAD"/>
    <w:rsid w:val="00774A47"/>
    <w:rsid w:val="00775299"/>
    <w:rsid w:val="007755F2"/>
    <w:rsid w:val="00776416"/>
    <w:rsid w:val="00776971"/>
    <w:rsid w:val="00776A94"/>
    <w:rsid w:val="007816AA"/>
    <w:rsid w:val="0078177E"/>
    <w:rsid w:val="007818B9"/>
    <w:rsid w:val="0078224B"/>
    <w:rsid w:val="007828D8"/>
    <w:rsid w:val="0078304C"/>
    <w:rsid w:val="00783673"/>
    <w:rsid w:val="007850BE"/>
    <w:rsid w:val="00785490"/>
    <w:rsid w:val="00786142"/>
    <w:rsid w:val="00791F28"/>
    <w:rsid w:val="007925EA"/>
    <w:rsid w:val="00793CD8"/>
    <w:rsid w:val="00795C92"/>
    <w:rsid w:val="00796231"/>
    <w:rsid w:val="007A1CB3"/>
    <w:rsid w:val="007A1CFB"/>
    <w:rsid w:val="007A306F"/>
    <w:rsid w:val="007A43A6"/>
    <w:rsid w:val="007A58A6"/>
    <w:rsid w:val="007A5D82"/>
    <w:rsid w:val="007B3D2D"/>
    <w:rsid w:val="007B50AE"/>
    <w:rsid w:val="007B51DF"/>
    <w:rsid w:val="007B69DC"/>
    <w:rsid w:val="007C05DD"/>
    <w:rsid w:val="007C37AC"/>
    <w:rsid w:val="007C3D18"/>
    <w:rsid w:val="007C60BF"/>
    <w:rsid w:val="007C6A07"/>
    <w:rsid w:val="007C75A1"/>
    <w:rsid w:val="007C77A5"/>
    <w:rsid w:val="007D02E4"/>
    <w:rsid w:val="007D04E5"/>
    <w:rsid w:val="007D4217"/>
    <w:rsid w:val="007D5888"/>
    <w:rsid w:val="007D5901"/>
    <w:rsid w:val="007D69EF"/>
    <w:rsid w:val="007D7526"/>
    <w:rsid w:val="007E4610"/>
    <w:rsid w:val="007E4715"/>
    <w:rsid w:val="007E505B"/>
    <w:rsid w:val="007E5EFF"/>
    <w:rsid w:val="007E7091"/>
    <w:rsid w:val="007E7F7C"/>
    <w:rsid w:val="007F22C6"/>
    <w:rsid w:val="007F6989"/>
    <w:rsid w:val="007F7230"/>
    <w:rsid w:val="0080181C"/>
    <w:rsid w:val="00803FAE"/>
    <w:rsid w:val="0080605F"/>
    <w:rsid w:val="00807786"/>
    <w:rsid w:val="00807D52"/>
    <w:rsid w:val="00810DE3"/>
    <w:rsid w:val="00811FCB"/>
    <w:rsid w:val="008126A5"/>
    <w:rsid w:val="008158D6"/>
    <w:rsid w:val="0081599E"/>
    <w:rsid w:val="00817196"/>
    <w:rsid w:val="00820E6D"/>
    <w:rsid w:val="008235DB"/>
    <w:rsid w:val="00824AB4"/>
    <w:rsid w:val="0082510D"/>
    <w:rsid w:val="00825284"/>
    <w:rsid w:val="00825C42"/>
    <w:rsid w:val="00825D25"/>
    <w:rsid w:val="00827D6F"/>
    <w:rsid w:val="008300EB"/>
    <w:rsid w:val="008322A8"/>
    <w:rsid w:val="008349A8"/>
    <w:rsid w:val="008376AC"/>
    <w:rsid w:val="008412EA"/>
    <w:rsid w:val="00842D74"/>
    <w:rsid w:val="008444E8"/>
    <w:rsid w:val="008444F8"/>
    <w:rsid w:val="00844E80"/>
    <w:rsid w:val="00845754"/>
    <w:rsid w:val="00846FE7"/>
    <w:rsid w:val="00847869"/>
    <w:rsid w:val="00850E63"/>
    <w:rsid w:val="00853FD9"/>
    <w:rsid w:val="00856911"/>
    <w:rsid w:val="0086318D"/>
    <w:rsid w:val="00865BAC"/>
    <w:rsid w:val="008677FD"/>
    <w:rsid w:val="008706D4"/>
    <w:rsid w:val="00870F8A"/>
    <w:rsid w:val="008719A4"/>
    <w:rsid w:val="00871D23"/>
    <w:rsid w:val="00872D15"/>
    <w:rsid w:val="00874312"/>
    <w:rsid w:val="0087437C"/>
    <w:rsid w:val="00875CD7"/>
    <w:rsid w:val="00876B4D"/>
    <w:rsid w:val="00876DD8"/>
    <w:rsid w:val="0087701B"/>
    <w:rsid w:val="00877F18"/>
    <w:rsid w:val="00885BD5"/>
    <w:rsid w:val="00885FD7"/>
    <w:rsid w:val="00892F30"/>
    <w:rsid w:val="00894A88"/>
    <w:rsid w:val="00895386"/>
    <w:rsid w:val="00895EAC"/>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B5C"/>
    <w:rsid w:val="008C0B84"/>
    <w:rsid w:val="008C0C99"/>
    <w:rsid w:val="008C1C91"/>
    <w:rsid w:val="008C2017"/>
    <w:rsid w:val="008C2F6C"/>
    <w:rsid w:val="008C4958"/>
    <w:rsid w:val="008C4BAA"/>
    <w:rsid w:val="008C6AE8"/>
    <w:rsid w:val="008C7573"/>
    <w:rsid w:val="008D1668"/>
    <w:rsid w:val="008D34F1"/>
    <w:rsid w:val="008D39D8"/>
    <w:rsid w:val="008D6D1A"/>
    <w:rsid w:val="008D6D46"/>
    <w:rsid w:val="008E065E"/>
    <w:rsid w:val="008E0927"/>
    <w:rsid w:val="008E1909"/>
    <w:rsid w:val="008E4C7D"/>
    <w:rsid w:val="008E4D7C"/>
    <w:rsid w:val="008E5F44"/>
    <w:rsid w:val="008F159A"/>
    <w:rsid w:val="008F1EAB"/>
    <w:rsid w:val="008F33DC"/>
    <w:rsid w:val="008F477F"/>
    <w:rsid w:val="009000D2"/>
    <w:rsid w:val="00902350"/>
    <w:rsid w:val="0090336B"/>
    <w:rsid w:val="009053AA"/>
    <w:rsid w:val="00906939"/>
    <w:rsid w:val="00910A74"/>
    <w:rsid w:val="00910B7D"/>
    <w:rsid w:val="00911DFB"/>
    <w:rsid w:val="00912F78"/>
    <w:rsid w:val="0091357F"/>
    <w:rsid w:val="009139D9"/>
    <w:rsid w:val="00913EDD"/>
    <w:rsid w:val="00914039"/>
    <w:rsid w:val="00914AD8"/>
    <w:rsid w:val="0091533C"/>
    <w:rsid w:val="00916079"/>
    <w:rsid w:val="00917CE9"/>
    <w:rsid w:val="00920BF2"/>
    <w:rsid w:val="00921D86"/>
    <w:rsid w:val="00922010"/>
    <w:rsid w:val="009305EA"/>
    <w:rsid w:val="00931BD9"/>
    <w:rsid w:val="00932336"/>
    <w:rsid w:val="0093233C"/>
    <w:rsid w:val="009368F3"/>
    <w:rsid w:val="009402F7"/>
    <w:rsid w:val="009410A8"/>
    <w:rsid w:val="00941636"/>
    <w:rsid w:val="00943742"/>
    <w:rsid w:val="00945C05"/>
    <w:rsid w:val="00946945"/>
    <w:rsid w:val="00947713"/>
    <w:rsid w:val="00950DE7"/>
    <w:rsid w:val="00952C3E"/>
    <w:rsid w:val="00953920"/>
    <w:rsid w:val="00953D47"/>
    <w:rsid w:val="00954B04"/>
    <w:rsid w:val="0095681E"/>
    <w:rsid w:val="009572D4"/>
    <w:rsid w:val="00961921"/>
    <w:rsid w:val="0096430A"/>
    <w:rsid w:val="0096554B"/>
    <w:rsid w:val="0096584A"/>
    <w:rsid w:val="00967990"/>
    <w:rsid w:val="00971626"/>
    <w:rsid w:val="00971F08"/>
    <w:rsid w:val="009734F1"/>
    <w:rsid w:val="00975F4A"/>
    <w:rsid w:val="0097603D"/>
    <w:rsid w:val="00976949"/>
    <w:rsid w:val="00980477"/>
    <w:rsid w:val="00982E77"/>
    <w:rsid w:val="00985253"/>
    <w:rsid w:val="009853B3"/>
    <w:rsid w:val="009876B0"/>
    <w:rsid w:val="009879FC"/>
    <w:rsid w:val="00990630"/>
    <w:rsid w:val="00991761"/>
    <w:rsid w:val="0099265B"/>
    <w:rsid w:val="00993169"/>
    <w:rsid w:val="00994B72"/>
    <w:rsid w:val="00994DCA"/>
    <w:rsid w:val="009960EC"/>
    <w:rsid w:val="009970DD"/>
    <w:rsid w:val="009A0D09"/>
    <w:rsid w:val="009A0FBA"/>
    <w:rsid w:val="009A11A5"/>
    <w:rsid w:val="009A1601"/>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68F"/>
    <w:rsid w:val="009E14E0"/>
    <w:rsid w:val="009E35DB"/>
    <w:rsid w:val="009E47A3"/>
    <w:rsid w:val="009E7AEF"/>
    <w:rsid w:val="009F08F3"/>
    <w:rsid w:val="009F2C65"/>
    <w:rsid w:val="009F344F"/>
    <w:rsid w:val="00A0099F"/>
    <w:rsid w:val="00A01161"/>
    <w:rsid w:val="00A01CBA"/>
    <w:rsid w:val="00A031D8"/>
    <w:rsid w:val="00A0401C"/>
    <w:rsid w:val="00A048A8"/>
    <w:rsid w:val="00A04F49"/>
    <w:rsid w:val="00A051D2"/>
    <w:rsid w:val="00A05BD3"/>
    <w:rsid w:val="00A072E8"/>
    <w:rsid w:val="00A109A1"/>
    <w:rsid w:val="00A1284B"/>
    <w:rsid w:val="00A13E54"/>
    <w:rsid w:val="00A14179"/>
    <w:rsid w:val="00A17F63"/>
    <w:rsid w:val="00A2193B"/>
    <w:rsid w:val="00A2351A"/>
    <w:rsid w:val="00A24C4A"/>
    <w:rsid w:val="00A264A9"/>
    <w:rsid w:val="00A27785"/>
    <w:rsid w:val="00A30187"/>
    <w:rsid w:val="00A3448A"/>
    <w:rsid w:val="00A36226"/>
    <w:rsid w:val="00A36297"/>
    <w:rsid w:val="00A37400"/>
    <w:rsid w:val="00A41E2B"/>
    <w:rsid w:val="00A45B74"/>
    <w:rsid w:val="00A46150"/>
    <w:rsid w:val="00A52E1D"/>
    <w:rsid w:val="00A55BC4"/>
    <w:rsid w:val="00A61172"/>
    <w:rsid w:val="00A61499"/>
    <w:rsid w:val="00A621D8"/>
    <w:rsid w:val="00A62388"/>
    <w:rsid w:val="00A62A77"/>
    <w:rsid w:val="00A63483"/>
    <w:rsid w:val="00A657D7"/>
    <w:rsid w:val="00A660AC"/>
    <w:rsid w:val="00A67E6C"/>
    <w:rsid w:val="00A71B99"/>
    <w:rsid w:val="00A739D0"/>
    <w:rsid w:val="00A73CF1"/>
    <w:rsid w:val="00A746B4"/>
    <w:rsid w:val="00A761D4"/>
    <w:rsid w:val="00A76593"/>
    <w:rsid w:val="00A77EC4"/>
    <w:rsid w:val="00A81258"/>
    <w:rsid w:val="00A82F83"/>
    <w:rsid w:val="00A838B0"/>
    <w:rsid w:val="00A9219A"/>
    <w:rsid w:val="00A92879"/>
    <w:rsid w:val="00A92BEC"/>
    <w:rsid w:val="00A93EA4"/>
    <w:rsid w:val="00A9442A"/>
    <w:rsid w:val="00A956E3"/>
    <w:rsid w:val="00AA016F"/>
    <w:rsid w:val="00AA1ED6"/>
    <w:rsid w:val="00AA35B9"/>
    <w:rsid w:val="00AA51D6"/>
    <w:rsid w:val="00AB08CE"/>
    <w:rsid w:val="00AB0BC8"/>
    <w:rsid w:val="00AB11CA"/>
    <w:rsid w:val="00AB14D9"/>
    <w:rsid w:val="00AB17B4"/>
    <w:rsid w:val="00AB4AB8"/>
    <w:rsid w:val="00AB655E"/>
    <w:rsid w:val="00AB6AF7"/>
    <w:rsid w:val="00AC007F"/>
    <w:rsid w:val="00AC2ECD"/>
    <w:rsid w:val="00AC3119"/>
    <w:rsid w:val="00AC49FB"/>
    <w:rsid w:val="00AC5A10"/>
    <w:rsid w:val="00AD0642"/>
    <w:rsid w:val="00AD0AA3"/>
    <w:rsid w:val="00AD0BD3"/>
    <w:rsid w:val="00AD1487"/>
    <w:rsid w:val="00AD3F94"/>
    <w:rsid w:val="00AD4A5A"/>
    <w:rsid w:val="00AD7EED"/>
    <w:rsid w:val="00AE032F"/>
    <w:rsid w:val="00AE23D8"/>
    <w:rsid w:val="00AE27AC"/>
    <w:rsid w:val="00AE40E0"/>
    <w:rsid w:val="00AE4DBA"/>
    <w:rsid w:val="00AE4F07"/>
    <w:rsid w:val="00AE5B85"/>
    <w:rsid w:val="00AE63AB"/>
    <w:rsid w:val="00AF0508"/>
    <w:rsid w:val="00AF0B28"/>
    <w:rsid w:val="00AF1C5D"/>
    <w:rsid w:val="00AF1CF1"/>
    <w:rsid w:val="00AF2B22"/>
    <w:rsid w:val="00AF3BF1"/>
    <w:rsid w:val="00AF42D7"/>
    <w:rsid w:val="00AF7B02"/>
    <w:rsid w:val="00B006FE"/>
    <w:rsid w:val="00B007CB"/>
    <w:rsid w:val="00B02AA9"/>
    <w:rsid w:val="00B02FA3"/>
    <w:rsid w:val="00B05084"/>
    <w:rsid w:val="00B101E0"/>
    <w:rsid w:val="00B130C7"/>
    <w:rsid w:val="00B133D4"/>
    <w:rsid w:val="00B157F9"/>
    <w:rsid w:val="00B20256"/>
    <w:rsid w:val="00B20D09"/>
    <w:rsid w:val="00B21270"/>
    <w:rsid w:val="00B21AB2"/>
    <w:rsid w:val="00B239EA"/>
    <w:rsid w:val="00B26318"/>
    <w:rsid w:val="00B2763F"/>
    <w:rsid w:val="00B27AAC"/>
    <w:rsid w:val="00B30929"/>
    <w:rsid w:val="00B372AA"/>
    <w:rsid w:val="00B40445"/>
    <w:rsid w:val="00B41888"/>
    <w:rsid w:val="00B45A52"/>
    <w:rsid w:val="00B46175"/>
    <w:rsid w:val="00B46EBF"/>
    <w:rsid w:val="00B52A61"/>
    <w:rsid w:val="00B6253B"/>
    <w:rsid w:val="00B664C7"/>
    <w:rsid w:val="00B739F6"/>
    <w:rsid w:val="00B770D3"/>
    <w:rsid w:val="00B81A6C"/>
    <w:rsid w:val="00B85DE5"/>
    <w:rsid w:val="00B90F73"/>
    <w:rsid w:val="00B914B1"/>
    <w:rsid w:val="00B93B59"/>
    <w:rsid w:val="00B9406A"/>
    <w:rsid w:val="00B96ED0"/>
    <w:rsid w:val="00BA2280"/>
    <w:rsid w:val="00BA2A08"/>
    <w:rsid w:val="00BA56D2"/>
    <w:rsid w:val="00BA76E0"/>
    <w:rsid w:val="00BB14A4"/>
    <w:rsid w:val="00BB18A0"/>
    <w:rsid w:val="00BB2A25"/>
    <w:rsid w:val="00BB51E9"/>
    <w:rsid w:val="00BB7338"/>
    <w:rsid w:val="00BC0FDC"/>
    <w:rsid w:val="00BC2480"/>
    <w:rsid w:val="00BC3053"/>
    <w:rsid w:val="00BC36C3"/>
    <w:rsid w:val="00BC4D2E"/>
    <w:rsid w:val="00BC6D4A"/>
    <w:rsid w:val="00BC7FAF"/>
    <w:rsid w:val="00BD48AC"/>
    <w:rsid w:val="00BD53A8"/>
    <w:rsid w:val="00BD5E86"/>
    <w:rsid w:val="00BD5F1A"/>
    <w:rsid w:val="00BD6E44"/>
    <w:rsid w:val="00BE1234"/>
    <w:rsid w:val="00BE12E2"/>
    <w:rsid w:val="00BE2FA6"/>
    <w:rsid w:val="00BE333F"/>
    <w:rsid w:val="00BE4608"/>
    <w:rsid w:val="00BE6075"/>
    <w:rsid w:val="00BE7406"/>
    <w:rsid w:val="00BE7603"/>
    <w:rsid w:val="00BF1596"/>
    <w:rsid w:val="00BF3279"/>
    <w:rsid w:val="00BF3C7F"/>
    <w:rsid w:val="00BF472E"/>
    <w:rsid w:val="00BF74C7"/>
    <w:rsid w:val="00C009EF"/>
    <w:rsid w:val="00C00D11"/>
    <w:rsid w:val="00C015F1"/>
    <w:rsid w:val="00C01788"/>
    <w:rsid w:val="00C01F33"/>
    <w:rsid w:val="00C02CC6"/>
    <w:rsid w:val="00C040F7"/>
    <w:rsid w:val="00C044AB"/>
    <w:rsid w:val="00C044DB"/>
    <w:rsid w:val="00C05706"/>
    <w:rsid w:val="00C05DC1"/>
    <w:rsid w:val="00C07377"/>
    <w:rsid w:val="00C10478"/>
    <w:rsid w:val="00C12107"/>
    <w:rsid w:val="00C14D4B"/>
    <w:rsid w:val="00C154BB"/>
    <w:rsid w:val="00C15ABD"/>
    <w:rsid w:val="00C2324C"/>
    <w:rsid w:val="00C23725"/>
    <w:rsid w:val="00C25B40"/>
    <w:rsid w:val="00C279B5"/>
    <w:rsid w:val="00C27C45"/>
    <w:rsid w:val="00C31CF9"/>
    <w:rsid w:val="00C3354C"/>
    <w:rsid w:val="00C3719D"/>
    <w:rsid w:val="00C37F73"/>
    <w:rsid w:val="00C41779"/>
    <w:rsid w:val="00C46BFF"/>
    <w:rsid w:val="00C4717D"/>
    <w:rsid w:val="00C54995"/>
    <w:rsid w:val="00C54D41"/>
    <w:rsid w:val="00C55437"/>
    <w:rsid w:val="00C55790"/>
    <w:rsid w:val="00C60783"/>
    <w:rsid w:val="00C61714"/>
    <w:rsid w:val="00C62BBD"/>
    <w:rsid w:val="00C64672"/>
    <w:rsid w:val="00C66B28"/>
    <w:rsid w:val="00C678F7"/>
    <w:rsid w:val="00C67AA7"/>
    <w:rsid w:val="00C70697"/>
    <w:rsid w:val="00C706E2"/>
    <w:rsid w:val="00C72735"/>
    <w:rsid w:val="00C72EF4"/>
    <w:rsid w:val="00C75D2F"/>
    <w:rsid w:val="00C767BE"/>
    <w:rsid w:val="00C76E3C"/>
    <w:rsid w:val="00C81568"/>
    <w:rsid w:val="00C84670"/>
    <w:rsid w:val="00C87FC5"/>
    <w:rsid w:val="00C9027A"/>
    <w:rsid w:val="00C90494"/>
    <w:rsid w:val="00C9068E"/>
    <w:rsid w:val="00C93C4B"/>
    <w:rsid w:val="00C944AB"/>
    <w:rsid w:val="00C95B40"/>
    <w:rsid w:val="00CA03E4"/>
    <w:rsid w:val="00CA1ED8"/>
    <w:rsid w:val="00CA33F2"/>
    <w:rsid w:val="00CB00AD"/>
    <w:rsid w:val="00CB1F63"/>
    <w:rsid w:val="00CB4738"/>
    <w:rsid w:val="00CB7170"/>
    <w:rsid w:val="00CB799E"/>
    <w:rsid w:val="00CC040E"/>
    <w:rsid w:val="00CC1037"/>
    <w:rsid w:val="00CC111F"/>
    <w:rsid w:val="00CC2011"/>
    <w:rsid w:val="00CC2D57"/>
    <w:rsid w:val="00CC3EA0"/>
    <w:rsid w:val="00CC5240"/>
    <w:rsid w:val="00CC7B45"/>
    <w:rsid w:val="00CD1188"/>
    <w:rsid w:val="00CD2ED1"/>
    <w:rsid w:val="00CD337B"/>
    <w:rsid w:val="00CD6A27"/>
    <w:rsid w:val="00CE0424"/>
    <w:rsid w:val="00CE3B6C"/>
    <w:rsid w:val="00CE4EBA"/>
    <w:rsid w:val="00CE7561"/>
    <w:rsid w:val="00CF1354"/>
    <w:rsid w:val="00CF2618"/>
    <w:rsid w:val="00CF3B1F"/>
    <w:rsid w:val="00CF3BF6"/>
    <w:rsid w:val="00CF625B"/>
    <w:rsid w:val="00CF6555"/>
    <w:rsid w:val="00CF687E"/>
    <w:rsid w:val="00D02520"/>
    <w:rsid w:val="00D0349B"/>
    <w:rsid w:val="00D03E47"/>
    <w:rsid w:val="00D045FC"/>
    <w:rsid w:val="00D10249"/>
    <w:rsid w:val="00D10AD3"/>
    <w:rsid w:val="00D10D23"/>
    <w:rsid w:val="00D115C3"/>
    <w:rsid w:val="00D11897"/>
    <w:rsid w:val="00D13135"/>
    <w:rsid w:val="00D13E4E"/>
    <w:rsid w:val="00D2232E"/>
    <w:rsid w:val="00D2281F"/>
    <w:rsid w:val="00D239A7"/>
    <w:rsid w:val="00D23F47"/>
    <w:rsid w:val="00D34123"/>
    <w:rsid w:val="00D34729"/>
    <w:rsid w:val="00D36E71"/>
    <w:rsid w:val="00D37D87"/>
    <w:rsid w:val="00D40B33"/>
    <w:rsid w:val="00D4131C"/>
    <w:rsid w:val="00D4318F"/>
    <w:rsid w:val="00D438BF"/>
    <w:rsid w:val="00D43E89"/>
    <w:rsid w:val="00D440F8"/>
    <w:rsid w:val="00D513BA"/>
    <w:rsid w:val="00D546FF"/>
    <w:rsid w:val="00D55AD5"/>
    <w:rsid w:val="00D576CA"/>
    <w:rsid w:val="00D5772A"/>
    <w:rsid w:val="00D61AF5"/>
    <w:rsid w:val="00D63714"/>
    <w:rsid w:val="00D648E0"/>
    <w:rsid w:val="00D652B5"/>
    <w:rsid w:val="00D65796"/>
    <w:rsid w:val="00D66155"/>
    <w:rsid w:val="00D708B0"/>
    <w:rsid w:val="00D70E61"/>
    <w:rsid w:val="00D71B92"/>
    <w:rsid w:val="00D757B3"/>
    <w:rsid w:val="00D77407"/>
    <w:rsid w:val="00D77B1D"/>
    <w:rsid w:val="00D8021F"/>
    <w:rsid w:val="00D80383"/>
    <w:rsid w:val="00D812AB"/>
    <w:rsid w:val="00D82105"/>
    <w:rsid w:val="00D821CE"/>
    <w:rsid w:val="00D823C6"/>
    <w:rsid w:val="00D85BD2"/>
    <w:rsid w:val="00D863C1"/>
    <w:rsid w:val="00D86CA3"/>
    <w:rsid w:val="00D871CE"/>
    <w:rsid w:val="00D87D95"/>
    <w:rsid w:val="00D90658"/>
    <w:rsid w:val="00D9196D"/>
    <w:rsid w:val="00D92982"/>
    <w:rsid w:val="00D9453C"/>
    <w:rsid w:val="00D97B81"/>
    <w:rsid w:val="00DA17DA"/>
    <w:rsid w:val="00DA1B30"/>
    <w:rsid w:val="00DA1E60"/>
    <w:rsid w:val="00DA2C23"/>
    <w:rsid w:val="00DA305E"/>
    <w:rsid w:val="00DA5417"/>
    <w:rsid w:val="00DA56E8"/>
    <w:rsid w:val="00DB056A"/>
    <w:rsid w:val="00DB0A9F"/>
    <w:rsid w:val="00DB3185"/>
    <w:rsid w:val="00DB377D"/>
    <w:rsid w:val="00DC0C42"/>
    <w:rsid w:val="00DC0F09"/>
    <w:rsid w:val="00DC2D36"/>
    <w:rsid w:val="00DC30F2"/>
    <w:rsid w:val="00DC53EF"/>
    <w:rsid w:val="00DC641C"/>
    <w:rsid w:val="00DD184D"/>
    <w:rsid w:val="00DD4764"/>
    <w:rsid w:val="00DE27B0"/>
    <w:rsid w:val="00DE3D33"/>
    <w:rsid w:val="00DE5608"/>
    <w:rsid w:val="00DE58D0"/>
    <w:rsid w:val="00DE654F"/>
    <w:rsid w:val="00DF0B6E"/>
    <w:rsid w:val="00DF15E0"/>
    <w:rsid w:val="00DF37A0"/>
    <w:rsid w:val="00DF3C2A"/>
    <w:rsid w:val="00DF600C"/>
    <w:rsid w:val="00DF7192"/>
    <w:rsid w:val="00E02DD1"/>
    <w:rsid w:val="00E0393B"/>
    <w:rsid w:val="00E05E0C"/>
    <w:rsid w:val="00E06CA4"/>
    <w:rsid w:val="00E110E7"/>
    <w:rsid w:val="00E113AA"/>
    <w:rsid w:val="00E116E5"/>
    <w:rsid w:val="00E11B20"/>
    <w:rsid w:val="00E17FA2"/>
    <w:rsid w:val="00E21AC1"/>
    <w:rsid w:val="00E22330"/>
    <w:rsid w:val="00E26371"/>
    <w:rsid w:val="00E30B5A"/>
    <w:rsid w:val="00E3123D"/>
    <w:rsid w:val="00E31461"/>
    <w:rsid w:val="00E31D43"/>
    <w:rsid w:val="00E32608"/>
    <w:rsid w:val="00E34188"/>
    <w:rsid w:val="00E34B6E"/>
    <w:rsid w:val="00E35559"/>
    <w:rsid w:val="00E3581C"/>
    <w:rsid w:val="00E35C14"/>
    <w:rsid w:val="00E3723A"/>
    <w:rsid w:val="00E37824"/>
    <w:rsid w:val="00E37860"/>
    <w:rsid w:val="00E4209D"/>
    <w:rsid w:val="00E422D1"/>
    <w:rsid w:val="00E434B5"/>
    <w:rsid w:val="00E43D91"/>
    <w:rsid w:val="00E446F1"/>
    <w:rsid w:val="00E448FB"/>
    <w:rsid w:val="00E46886"/>
    <w:rsid w:val="00E47AEF"/>
    <w:rsid w:val="00E5321C"/>
    <w:rsid w:val="00E53B75"/>
    <w:rsid w:val="00E54E3B"/>
    <w:rsid w:val="00E57565"/>
    <w:rsid w:val="00E61D41"/>
    <w:rsid w:val="00E63838"/>
    <w:rsid w:val="00E64434"/>
    <w:rsid w:val="00E64582"/>
    <w:rsid w:val="00E64EE6"/>
    <w:rsid w:val="00E676F4"/>
    <w:rsid w:val="00E67C51"/>
    <w:rsid w:val="00E67D92"/>
    <w:rsid w:val="00E71B1C"/>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291C"/>
    <w:rsid w:val="00E93FFE"/>
    <w:rsid w:val="00E94341"/>
    <w:rsid w:val="00E94F8A"/>
    <w:rsid w:val="00E96B26"/>
    <w:rsid w:val="00EA344E"/>
    <w:rsid w:val="00EA6979"/>
    <w:rsid w:val="00EA7A41"/>
    <w:rsid w:val="00EB077B"/>
    <w:rsid w:val="00EB2AD9"/>
    <w:rsid w:val="00EB4557"/>
    <w:rsid w:val="00EB4EA2"/>
    <w:rsid w:val="00EB50BE"/>
    <w:rsid w:val="00EB548A"/>
    <w:rsid w:val="00EB6109"/>
    <w:rsid w:val="00EC268A"/>
    <w:rsid w:val="00EC27C6"/>
    <w:rsid w:val="00EC4207"/>
    <w:rsid w:val="00EC5653"/>
    <w:rsid w:val="00EC71CE"/>
    <w:rsid w:val="00ED08A9"/>
    <w:rsid w:val="00ED1006"/>
    <w:rsid w:val="00ED2DA8"/>
    <w:rsid w:val="00ED344C"/>
    <w:rsid w:val="00ED46E9"/>
    <w:rsid w:val="00ED5A72"/>
    <w:rsid w:val="00EF18FE"/>
    <w:rsid w:val="00EF422C"/>
    <w:rsid w:val="00EF456C"/>
    <w:rsid w:val="00EF5787"/>
    <w:rsid w:val="00EF60D0"/>
    <w:rsid w:val="00EF705B"/>
    <w:rsid w:val="00EF718B"/>
    <w:rsid w:val="00F005EB"/>
    <w:rsid w:val="00F0528D"/>
    <w:rsid w:val="00F05B7F"/>
    <w:rsid w:val="00F06C67"/>
    <w:rsid w:val="00F06DFD"/>
    <w:rsid w:val="00F06F1F"/>
    <w:rsid w:val="00F071D1"/>
    <w:rsid w:val="00F07533"/>
    <w:rsid w:val="00F10629"/>
    <w:rsid w:val="00F15FA5"/>
    <w:rsid w:val="00F16CDF"/>
    <w:rsid w:val="00F209B7"/>
    <w:rsid w:val="00F20BE2"/>
    <w:rsid w:val="00F2376F"/>
    <w:rsid w:val="00F243D8"/>
    <w:rsid w:val="00F30099"/>
    <w:rsid w:val="00F30828"/>
    <w:rsid w:val="00F313D6"/>
    <w:rsid w:val="00F40235"/>
    <w:rsid w:val="00F40F0C"/>
    <w:rsid w:val="00F43283"/>
    <w:rsid w:val="00F47239"/>
    <w:rsid w:val="00F4766C"/>
    <w:rsid w:val="00F5060E"/>
    <w:rsid w:val="00F507D1"/>
    <w:rsid w:val="00F50950"/>
    <w:rsid w:val="00F519CE"/>
    <w:rsid w:val="00F51ADA"/>
    <w:rsid w:val="00F51BBB"/>
    <w:rsid w:val="00F532F9"/>
    <w:rsid w:val="00F54346"/>
    <w:rsid w:val="00F607C5"/>
    <w:rsid w:val="00F60DEA"/>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6EFA"/>
    <w:rsid w:val="00F77ED4"/>
    <w:rsid w:val="00F804BE"/>
    <w:rsid w:val="00F817CE"/>
    <w:rsid w:val="00F8456C"/>
    <w:rsid w:val="00F84573"/>
    <w:rsid w:val="00F84A87"/>
    <w:rsid w:val="00F859D8"/>
    <w:rsid w:val="00F868F5"/>
    <w:rsid w:val="00F86F2E"/>
    <w:rsid w:val="00F9056A"/>
    <w:rsid w:val="00F90F8D"/>
    <w:rsid w:val="00F912EC"/>
    <w:rsid w:val="00F92782"/>
    <w:rsid w:val="00F93AA9"/>
    <w:rsid w:val="00F95C45"/>
    <w:rsid w:val="00F96985"/>
    <w:rsid w:val="00F97838"/>
    <w:rsid w:val="00F97E8A"/>
    <w:rsid w:val="00FA169D"/>
    <w:rsid w:val="00FA2BB3"/>
    <w:rsid w:val="00FA446D"/>
    <w:rsid w:val="00FA6713"/>
    <w:rsid w:val="00FB352F"/>
    <w:rsid w:val="00FB4C80"/>
    <w:rsid w:val="00FB6A50"/>
    <w:rsid w:val="00FB6A6A"/>
    <w:rsid w:val="00FC1206"/>
    <w:rsid w:val="00FC469B"/>
    <w:rsid w:val="00FC6AB2"/>
    <w:rsid w:val="00FC7429"/>
    <w:rsid w:val="00FD07F6"/>
    <w:rsid w:val="00FD1BE3"/>
    <w:rsid w:val="00FD1EC8"/>
    <w:rsid w:val="00FD47ED"/>
    <w:rsid w:val="00FD4C23"/>
    <w:rsid w:val="00FD74DB"/>
    <w:rsid w:val="00FD7660"/>
    <w:rsid w:val="00FE0655"/>
    <w:rsid w:val="00FE08D3"/>
    <w:rsid w:val="00FE2365"/>
    <w:rsid w:val="00FE37D7"/>
    <w:rsid w:val="00FE4C7B"/>
    <w:rsid w:val="00FE7336"/>
    <w:rsid w:val="00FE787C"/>
    <w:rsid w:val="00FE7A64"/>
    <w:rsid w:val="00FF3D8E"/>
    <w:rsid w:val="00FF45A5"/>
    <w:rsid w:val="00FF5084"/>
    <w:rsid w:val="00FF519D"/>
    <w:rsid w:val="00FF5910"/>
    <w:rsid w:val="00FF5C91"/>
    <w:rsid w:val="00FF7C4E"/>
    <w:rsid w:val="03DE5A5A"/>
    <w:rsid w:val="072A4F5E"/>
    <w:rsid w:val="0BE31DC5"/>
    <w:rsid w:val="14EB15BB"/>
    <w:rsid w:val="1576056E"/>
    <w:rsid w:val="17140190"/>
    <w:rsid w:val="1DDE4C16"/>
    <w:rsid w:val="207E39C8"/>
    <w:rsid w:val="2198172C"/>
    <w:rsid w:val="2A643007"/>
    <w:rsid w:val="2DB4384D"/>
    <w:rsid w:val="31C60EC8"/>
    <w:rsid w:val="326F410D"/>
    <w:rsid w:val="32735D0B"/>
    <w:rsid w:val="36CB7FCD"/>
    <w:rsid w:val="37B0779C"/>
    <w:rsid w:val="39B9696C"/>
    <w:rsid w:val="3FE214D7"/>
    <w:rsid w:val="4887226B"/>
    <w:rsid w:val="58185D25"/>
    <w:rsid w:val="58470DC8"/>
    <w:rsid w:val="5A564AFD"/>
    <w:rsid w:val="60C6661F"/>
    <w:rsid w:val="610D5DC9"/>
    <w:rsid w:val="61643E3D"/>
    <w:rsid w:val="6AF80540"/>
    <w:rsid w:val="6CAE491B"/>
    <w:rsid w:val="6E884CEA"/>
    <w:rsid w:val="7CBB66E3"/>
    <w:rsid w:val="7FF5507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Malgun Gothic" w:cs="Times New Roman"/>
      <w:lang w:val="en-GB" w:eastAsia="zh-CN" w:bidi="ar-SA"/>
    </w:rPr>
  </w:style>
  <w:style w:type="paragraph" w:styleId="2">
    <w:name w:val="heading 1"/>
    <w:next w:val="1"/>
    <w:link w:val="9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GB" w:eastAsia="ko-KR"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Id w:val="1"/>
      </w:numPr>
      <w:spacing w:before="120"/>
      <w:outlineLvl w:val="2"/>
    </w:pPr>
    <w:rPr>
      <w:sz w:val="28"/>
      <w:szCs w:val="28"/>
    </w:rPr>
  </w:style>
  <w:style w:type="paragraph" w:styleId="5">
    <w:name w:val="heading 4"/>
    <w:basedOn w:val="4"/>
    <w:next w:val="1"/>
    <w:qFormat/>
    <w:uiPriority w:val="0"/>
    <w:pPr>
      <w:numPr>
        <w:ilvl w:val="3"/>
        <w:numId w:val="1"/>
      </w:numPr>
      <w:outlineLvl w:val="3"/>
    </w:pPr>
    <w:rPr>
      <w:sz w:val="24"/>
      <w:szCs w:val="24"/>
    </w:rPr>
  </w:style>
  <w:style w:type="paragraph" w:styleId="6">
    <w:name w:val="heading 5"/>
    <w:basedOn w:val="5"/>
    <w:next w:val="1"/>
    <w:qFormat/>
    <w:uiPriority w:val="0"/>
    <w:pPr>
      <w:numPr>
        <w:ilvl w:val="4"/>
        <w:numId w:val="1"/>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Id w:val="1"/>
      </w:numPr>
      <w:outlineLvl w:val="7"/>
    </w:pPr>
  </w:style>
  <w:style w:type="paragraph" w:styleId="10">
    <w:name w:val="heading 9"/>
    <w:basedOn w:val="9"/>
    <w:next w:val="1"/>
    <w:qFormat/>
    <w:uiPriority w:val="0"/>
    <w:pPr>
      <w:numPr>
        <w:ilvl w:val="8"/>
        <w:numId w:val="1"/>
      </w:numPr>
      <w:outlineLvl w:val="8"/>
    </w:pPr>
  </w:style>
  <w:style w:type="character" w:default="1" w:styleId="46">
    <w:name w:val="Default Paragraph Font"/>
    <w:unhideWhenUsed/>
    <w:qFormat/>
    <w:uiPriority w:val="1"/>
  </w:style>
  <w:style w:type="table" w:default="1" w:styleId="44">
    <w:name w:val="Normal Table"/>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keepNext w:val="0"/>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Malgun Gothic"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ilvl w:val="0"/>
        <w:numId w:val="2"/>
      </w:numPr>
      <w:tabs>
        <w:tab w:val="left" w:pos="510"/>
        <w:tab w:val="left" w:pos="794"/>
        <w:tab w:val="left" w:pos="1077"/>
      </w:tabs>
    </w:pPr>
  </w:style>
  <w:style w:type="paragraph" w:styleId="24">
    <w:name w:val="List Bullet 3"/>
    <w:basedOn w:val="25"/>
    <w:qFormat/>
    <w:uiPriority w:val="0"/>
    <w:pPr>
      <w:numPr>
        <w:ilvl w:val="0"/>
        <w:numId w:val="3"/>
      </w:numPr>
      <w:tabs>
        <w:tab w:val="left" w:pos="510"/>
        <w:tab w:val="left" w:pos="794"/>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8"/>
    <w:qFormat/>
    <w:uiPriority w:val="0"/>
    <w:rPr>
      <w:rFonts w:cs="Times New Roman"/>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3"/>
    <w:qFormat/>
    <w:uiPriority w:val="0"/>
    <w:pPr>
      <w:numPr>
        <w:ilvl w:val="0"/>
        <w:numId w:val="6"/>
      </w:numPr>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qFormat/>
    <w:uiPriority w:val="0"/>
    <w:pPr>
      <w:widowControl w:val="0"/>
      <w:overflowPunct w:val="0"/>
      <w:autoSpaceDE w:val="0"/>
      <w:autoSpaceDN w:val="0"/>
      <w:adjustRightInd w:val="0"/>
      <w:textAlignment w:val="baseline"/>
    </w:pPr>
    <w:rPr>
      <w:rFonts w:ascii="Arial" w:hAnsi="Arial" w:eastAsia="Malgun Gothic" w:cs="Arial"/>
      <w:b/>
      <w:bCs/>
      <w:sz w:val="18"/>
      <w:szCs w:val="18"/>
      <w:lang w:val="en-US" w:eastAsia="zh-CN" w:bidi="ar-SA"/>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7">
    <w:name w:val="page number"/>
    <w:basedOn w:val="46"/>
    <w:semiHidden/>
    <w:qFormat/>
    <w:uiPriority w:val="0"/>
  </w:style>
  <w:style w:type="character" w:styleId="48">
    <w:name w:val="FollowedHyperlink"/>
    <w:semiHidden/>
    <w:qFormat/>
    <w:uiPriority w:val="0"/>
    <w:rPr>
      <w:color w:val="FF0000"/>
      <w:u w:val="single"/>
    </w:rPr>
  </w:style>
  <w:style w:type="character" w:styleId="49">
    <w:name w:val="Hyperlink"/>
    <w:qFormat/>
    <w:uiPriority w:val="99"/>
    <w:rPr>
      <w:color w:val="0000FF"/>
      <w:u w:val="single"/>
      <w:lang w:val="en-GB"/>
    </w:rPr>
  </w:style>
  <w:style w:type="character" w:styleId="50">
    <w:name w:val="annotation reference"/>
    <w:semiHidden/>
    <w:qFormat/>
    <w:uiPriority w:val="0"/>
    <w:rPr>
      <w:sz w:val="16"/>
      <w:szCs w:val="16"/>
    </w:rPr>
  </w:style>
  <w:style w:type="character" w:styleId="51">
    <w:name w:val="footnote reference"/>
    <w:semiHidden/>
    <w:qFormat/>
    <w:uiPriority w:val="0"/>
    <w:rPr>
      <w:b/>
      <w:bCs/>
      <w:position w:val="6"/>
      <w:sz w:val="16"/>
      <w:szCs w:val="16"/>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US" w:eastAsia="en-US" w:bidi="ar-SA"/>
    </w:rPr>
  </w:style>
  <w:style w:type="paragraph" w:customStyle="1" w:styleId="54">
    <w:name w:val="EX"/>
    <w:basedOn w:val="1"/>
    <w:qFormat/>
    <w:uiPriority w:val="0"/>
    <w:pPr>
      <w:keepLines/>
      <w:spacing w:after="180"/>
      <w:ind w:left="1702" w:hanging="1418"/>
      <w:jc w:val="left"/>
    </w:pPr>
    <w:rPr>
      <w:lang w:eastAsia="en-US"/>
    </w:rPr>
  </w:style>
  <w:style w:type="paragraph" w:customStyle="1" w:styleId="55">
    <w:name w:val="Doc-text2"/>
    <w:basedOn w:val="1"/>
    <w:link w:val="91"/>
    <w:qFormat/>
    <w:uiPriority w:val="0"/>
    <w:pPr>
      <w:tabs>
        <w:tab w:val="left" w:pos="1622"/>
      </w:tabs>
      <w:overflowPunct/>
      <w:autoSpaceDE/>
      <w:autoSpaceDN/>
      <w:adjustRightInd/>
      <w:spacing w:after="0"/>
      <w:ind w:left="1622" w:hanging="363"/>
      <w:jc w:val="left"/>
      <w:textAlignment w:val="auto"/>
    </w:pPr>
    <w:rPr>
      <w:rFonts w:eastAsia="MS Mincho" w:cs="Times New Roman"/>
      <w:szCs w:val="24"/>
      <w:lang w:eastAsia="en-GB"/>
    </w:rPr>
  </w:style>
  <w:style w:type="paragraph" w:customStyle="1" w:styleId="56">
    <w:name w:val="B4"/>
    <w:basedOn w:val="38"/>
    <w:qFormat/>
    <w:uiPriority w:val="0"/>
    <w:pPr>
      <w:spacing w:after="180"/>
      <w:jc w:val="left"/>
    </w:pPr>
    <w:rPr>
      <w:lang w:eastAsia="en-US"/>
    </w:rPr>
  </w:style>
  <w:style w:type="paragraph" w:customStyle="1" w:styleId="57">
    <w:name w:val="FP"/>
    <w:basedOn w:val="1"/>
    <w:qFormat/>
    <w:uiPriority w:val="0"/>
    <w:pPr>
      <w:spacing w:after="0"/>
      <w:jc w:val="left"/>
    </w:pPr>
    <w:rPr>
      <w:lang w:eastAsia="en-US"/>
    </w:rPr>
  </w:style>
  <w:style w:type="paragraph" w:customStyle="1" w:styleId="58">
    <w:name w:val="TAN"/>
    <w:basedOn w:val="59"/>
    <w:qFormat/>
    <w:uiPriority w:val="0"/>
    <w:pPr>
      <w:ind w:left="851" w:hanging="851"/>
    </w:pPr>
  </w:style>
  <w:style w:type="paragraph" w:customStyle="1" w:styleId="59">
    <w:name w:val="TAL"/>
    <w:basedOn w:val="1"/>
    <w:qFormat/>
    <w:uiPriority w:val="0"/>
    <w:pPr>
      <w:keepNext/>
      <w:keepLines/>
      <w:spacing w:after="0"/>
      <w:jc w:val="left"/>
    </w:pPr>
    <w:rPr>
      <w:sz w:val="18"/>
      <w:lang w:eastAsia="en-US"/>
    </w:rPr>
  </w:style>
  <w:style w:type="paragraph" w:customStyle="1" w:styleId="60">
    <w:name w:val="EW"/>
    <w:basedOn w:val="54"/>
    <w:qFormat/>
    <w:uiPriority w:val="0"/>
    <w:pPr>
      <w:spacing w:after="0"/>
    </w:pPr>
  </w:style>
  <w:style w:type="paragraph" w:customStyle="1" w:styleId="61">
    <w:name w:val="B5"/>
    <w:basedOn w:val="37"/>
    <w:qFormat/>
    <w:uiPriority w:val="0"/>
    <w:pPr>
      <w:spacing w:after="180"/>
      <w:jc w:val="left"/>
    </w:pPr>
    <w:rPr>
      <w:lang w:eastAsia="en-US"/>
    </w:rPr>
  </w:style>
  <w:style w:type="paragraph" w:customStyle="1" w:styleId="62">
    <w:name w:val="EQ"/>
    <w:basedOn w:val="1"/>
    <w:next w:val="1"/>
    <w:qFormat/>
    <w:uiPriority w:val="0"/>
    <w:pPr>
      <w:keepLines/>
      <w:tabs>
        <w:tab w:val="center" w:pos="4536"/>
        <w:tab w:val="right" w:pos="9072"/>
      </w:tabs>
      <w:spacing w:after="180"/>
      <w:jc w:val="left"/>
    </w:pPr>
    <w:rPr>
      <w:lang w:eastAsia="en-US"/>
    </w:rPr>
  </w:style>
  <w:style w:type="paragraph" w:customStyle="1" w:styleId="63">
    <w:name w:val="Figure"/>
    <w:basedOn w:val="1"/>
    <w:next w:val="28"/>
    <w:qFormat/>
    <w:uiPriority w:val="0"/>
    <w:pPr>
      <w:keepNext/>
      <w:keepLines/>
      <w:spacing w:before="180"/>
      <w:jc w:val="center"/>
    </w:pPr>
  </w:style>
  <w:style w:type="paragraph" w:customStyle="1" w:styleId="64">
    <w:name w:val="NO"/>
    <w:basedOn w:val="1"/>
    <w:link w:val="100"/>
    <w:qFormat/>
    <w:uiPriority w:val="0"/>
    <w:pPr>
      <w:keepLines/>
      <w:spacing w:after="180"/>
      <w:ind w:left="1135" w:hanging="851"/>
      <w:jc w:val="left"/>
    </w:pPr>
    <w:rPr>
      <w:rFonts w:ascii="Times New Roman" w:hAnsi="Times New Roman" w:eastAsia="Times New Roman" w:cs="Times New Roman"/>
    </w:rPr>
  </w:style>
  <w:style w:type="paragraph" w:customStyle="1" w:styleId="65">
    <w:name w:val="Doc-title"/>
    <w:basedOn w:val="1"/>
    <w:next w:val="55"/>
    <w:link w:val="96"/>
    <w:qFormat/>
    <w:uiPriority w:val="0"/>
    <w:pPr>
      <w:overflowPunct/>
      <w:autoSpaceDE/>
      <w:autoSpaceDN/>
      <w:adjustRightInd/>
      <w:spacing w:before="60" w:after="0"/>
      <w:ind w:left="1259" w:hanging="1259"/>
      <w:jc w:val="left"/>
      <w:textAlignment w:val="auto"/>
    </w:pPr>
    <w:rPr>
      <w:rFonts w:eastAsia="MS Mincho" w:cs="Times New Roman"/>
      <w:szCs w:val="24"/>
      <w:lang w:eastAsia="en-GB"/>
    </w:rPr>
  </w:style>
  <w:style w:type="paragraph" w:customStyle="1" w:styleId="66">
    <w:name w:val="B3"/>
    <w:basedOn w:val="11"/>
    <w:qFormat/>
    <w:uiPriority w:val="0"/>
    <w:pPr>
      <w:spacing w:after="180"/>
      <w:jc w:val="left"/>
    </w:pPr>
    <w:rPr>
      <w:lang w:eastAsia="en-US"/>
    </w:rPr>
  </w:style>
  <w:style w:type="paragraph" w:customStyle="1" w:styleId="67">
    <w:name w:val="彩色列表 - 着色 11"/>
    <w:basedOn w:val="1"/>
    <w:qFormat/>
    <w:uiPriority w:val="34"/>
    <w:pPr>
      <w:ind w:left="720"/>
      <w:contextualSpacing/>
    </w:pPr>
  </w:style>
  <w:style w:type="paragraph" w:customStyle="1" w:styleId="68">
    <w:name w:val="B2"/>
    <w:basedOn w:val="12"/>
    <w:link w:val="94"/>
    <w:qFormat/>
    <w:uiPriority w:val="0"/>
    <w:pPr>
      <w:spacing w:after="180"/>
      <w:jc w:val="left"/>
    </w:pPr>
    <w:rPr>
      <w:rFonts w:cs="Times New Roman"/>
      <w:lang w:eastAsia="en-US"/>
    </w:rPr>
  </w:style>
  <w:style w:type="paragraph" w:customStyle="1" w:styleId="69">
    <w:name w:val="Reference"/>
    <w:basedOn w:val="1"/>
    <w:qFormat/>
    <w:uiPriority w:val="0"/>
    <w:pPr>
      <w:numPr>
        <w:ilvl w:val="0"/>
        <w:numId w:val="7"/>
      </w:numPr>
    </w:pPr>
  </w:style>
  <w:style w:type="paragraph" w:customStyle="1" w:styleId="70">
    <w:name w:val="B1"/>
    <w:basedOn w:val="13"/>
    <w:link w:val="92"/>
    <w:qFormat/>
    <w:uiPriority w:val="0"/>
    <w:pPr>
      <w:spacing w:after="180"/>
      <w:jc w:val="left"/>
    </w:pPr>
    <w:rPr>
      <w:rFonts w:cs="Times New Roman"/>
      <w:lang w:eastAsia="en-US"/>
    </w:rPr>
  </w:style>
  <w:style w:type="paragraph" w:customStyle="1" w:styleId="71">
    <w:name w:val="Editor's Note"/>
    <w:basedOn w:val="1"/>
    <w:link w:val="101"/>
    <w:qFormat/>
    <w:uiPriority w:val="0"/>
    <w:pPr>
      <w:keepLines/>
      <w:spacing w:after="180"/>
      <w:ind w:left="1135" w:hanging="851"/>
      <w:jc w:val="left"/>
    </w:pPr>
    <w:rPr>
      <w:color w:val="FF0000"/>
      <w:lang w:eastAsia="en-US"/>
    </w:rPr>
  </w:style>
  <w:style w:type="paragraph" w:customStyle="1" w:styleId="72">
    <w:name w:val="3GPP_Header"/>
    <w:basedOn w:val="1"/>
    <w:qFormat/>
    <w:uiPriority w:val="0"/>
    <w:pPr>
      <w:tabs>
        <w:tab w:val="left" w:pos="1701"/>
        <w:tab w:val="right" w:pos="9639"/>
      </w:tabs>
      <w:spacing w:after="240"/>
    </w:pPr>
    <w:rPr>
      <w:b/>
      <w:sz w:val="24"/>
    </w:rPr>
  </w:style>
  <w:style w:type="paragraph" w:customStyle="1" w:styleId="73">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US" w:eastAsia="en-US" w:bidi="ar-SA"/>
    </w:rPr>
  </w:style>
  <w:style w:type="paragraph" w:customStyle="1" w:styleId="75">
    <w:name w:val="TAC"/>
    <w:basedOn w:val="59"/>
    <w:qFormat/>
    <w:uiPriority w:val="0"/>
    <w:pPr>
      <w:jc w:val="center"/>
    </w:pPr>
  </w:style>
  <w:style w:type="paragraph" w:customStyle="1" w:styleId="76">
    <w:name w:val="Proposal"/>
    <w:basedOn w:val="1"/>
    <w:qFormat/>
    <w:uiPriority w:val="0"/>
    <w:pPr>
      <w:numPr>
        <w:ilvl w:val="0"/>
        <w:numId w:val="8"/>
      </w:numPr>
      <w:tabs>
        <w:tab w:val="left" w:pos="1701"/>
      </w:tabs>
    </w:pPr>
    <w:rPr>
      <w:b/>
      <w:bCs/>
    </w:rPr>
  </w:style>
  <w:style w:type="paragraph" w:customStyle="1" w:styleId="77">
    <w:name w:val="TAH"/>
    <w:basedOn w:val="75"/>
    <w:qFormat/>
    <w:uiPriority w:val="0"/>
    <w:rPr>
      <w:b/>
    </w:rPr>
  </w:style>
  <w:style w:type="paragraph" w:customStyle="1" w:styleId="78">
    <w:name w:val="TAR"/>
    <w:basedOn w:val="59"/>
    <w:qFormat/>
    <w:uiPriority w:val="0"/>
    <w:pPr>
      <w:jc w:val="right"/>
    </w:pPr>
  </w:style>
  <w:style w:type="paragraph" w:customStyle="1" w:styleId="79">
    <w:name w:val="TH"/>
    <w:basedOn w:val="1"/>
    <w:qFormat/>
    <w:uiPriority w:val="0"/>
    <w:pPr>
      <w:keepNext/>
      <w:keepLines/>
      <w:spacing w:before="60" w:after="180"/>
      <w:jc w:val="center"/>
    </w:pPr>
    <w:rPr>
      <w:b/>
      <w:lang w:eastAsia="en-US"/>
    </w:rPr>
  </w:style>
  <w:style w:type="paragraph" w:customStyle="1" w:styleId="80">
    <w:name w:val="TF"/>
    <w:basedOn w:val="79"/>
    <w:qFormat/>
    <w:uiPriority w:val="0"/>
    <w:pPr>
      <w:keepNext w:val="0"/>
      <w:spacing w:before="0" w:after="240"/>
    </w:pPr>
  </w:style>
  <w:style w:type="paragraph" w:customStyle="1" w:styleId="81">
    <w:name w:val="TT"/>
    <w:basedOn w:val="2"/>
    <w:next w:val="1"/>
    <w:qFormat/>
    <w:uiPriority w:val="0"/>
    <w:pPr>
      <w:numPr>
        <w:ilvl w:val="0"/>
        <w:numId w:val="0"/>
      </w:numPr>
      <w:ind w:left="1134" w:hanging="1134"/>
      <w:outlineLvl w:val="9"/>
    </w:pPr>
    <w:rPr>
      <w:rFonts w:cs="Times New Roman"/>
      <w:szCs w:val="20"/>
      <w:lang w:eastAsia="en-US"/>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US" w:eastAsia="en-US" w:bidi="ar-SA"/>
    </w:rPr>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US" w:eastAsia="en-US" w:bidi="ar-SA"/>
    </w:rPr>
  </w:style>
  <w:style w:type="paragraph" w:customStyle="1" w:styleId="8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US" w:eastAsia="en-US"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US" w:eastAsia="en-US" w:bidi="ar-SA"/>
    </w:rPr>
  </w:style>
  <w:style w:type="paragraph" w:customStyle="1" w:styleId="87">
    <w:name w:val="ZV"/>
    <w:basedOn w:val="86"/>
    <w:qFormat/>
    <w:uiPriority w:val="0"/>
    <w:pPr>
      <w:framePr w:y="16161"/>
    </w:pPr>
  </w:style>
  <w:style w:type="paragraph" w:customStyle="1" w:styleId="88">
    <w:name w:val="Observation"/>
    <w:basedOn w:val="76"/>
    <w:qFormat/>
    <w:uiPriority w:val="0"/>
    <w:pPr>
      <w:numPr>
        <w:ilvl w:val="0"/>
        <w:numId w:val="9"/>
      </w:numPr>
    </w:pPr>
  </w:style>
  <w:style w:type="paragraph" w:styleId="89">
    <w:name w:val="List Paragraph"/>
    <w:basedOn w:val="1"/>
    <w:qFormat/>
    <w:uiPriority w:val="34"/>
    <w:pPr>
      <w:overflowPunct/>
      <w:autoSpaceDE/>
      <w:autoSpaceDN/>
      <w:adjustRightInd/>
      <w:spacing w:after="0"/>
      <w:ind w:left="720"/>
      <w:jc w:val="left"/>
      <w:textAlignment w:val="auto"/>
    </w:pPr>
    <w:rPr>
      <w:rFonts w:ascii="Calibri" w:hAnsi="Calibri" w:eastAsia="Calibri" w:cs="Calibri"/>
      <w:sz w:val="22"/>
      <w:szCs w:val="22"/>
      <w:lang w:val="en-US" w:eastAsia="en-US"/>
    </w:rPr>
  </w:style>
  <w:style w:type="paragraph" w:styleId="90">
    <w:name w:val="Intense Quote"/>
    <w:basedOn w:val="1"/>
    <w:next w:val="1"/>
    <w:link w:val="102"/>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ascii="Times New Roman" w:hAnsi="Times New Roman" w:cs="Times New Roman"/>
      <w:i/>
      <w:iCs/>
      <w:color w:val="4472C4"/>
      <w:lang w:eastAsia="en-US"/>
    </w:rPr>
  </w:style>
  <w:style w:type="character" w:customStyle="1" w:styleId="91">
    <w:name w:val="Doc-text2 Char"/>
    <w:link w:val="55"/>
    <w:qFormat/>
    <w:uiPriority w:val="0"/>
    <w:rPr>
      <w:rFonts w:ascii="Arial" w:hAnsi="Arial" w:eastAsia="MS Mincho"/>
      <w:szCs w:val="24"/>
      <w:lang w:val="en-GB" w:eastAsia="en-GB"/>
    </w:rPr>
  </w:style>
  <w:style w:type="character" w:customStyle="1" w:styleId="92">
    <w:name w:val="B1 Char"/>
    <w:link w:val="70"/>
    <w:qFormat/>
    <w:uiPriority w:val="0"/>
    <w:rPr>
      <w:rFonts w:ascii="Arial" w:hAnsi="Arial"/>
      <w:lang w:val="en-GB" w:eastAsia="en-US"/>
    </w:rPr>
  </w:style>
  <w:style w:type="character" w:customStyle="1" w:styleId="93">
    <w:name w:val="ZGSM"/>
    <w:qFormat/>
    <w:uiPriority w:val="0"/>
  </w:style>
  <w:style w:type="character" w:customStyle="1" w:styleId="94">
    <w:name w:val="B2 Char"/>
    <w:link w:val="68"/>
    <w:qFormat/>
    <w:uiPriority w:val="0"/>
    <w:rPr>
      <w:rFonts w:ascii="Arial" w:hAnsi="Arial"/>
      <w:lang w:val="en-GB" w:eastAsia="en-US"/>
    </w:rPr>
  </w:style>
  <w:style w:type="character" w:customStyle="1" w:styleId="95">
    <w:name w:val="PL Char"/>
    <w:link w:val="73"/>
    <w:qFormat/>
    <w:uiPriority w:val="0"/>
    <w:rPr>
      <w:rFonts w:ascii="Courier New" w:hAnsi="Courier New" w:eastAsia="Times New Roman"/>
      <w:sz w:val="16"/>
      <w:lang w:val="en-US" w:eastAsia="zh-CN" w:bidi="ar-SA"/>
    </w:rPr>
  </w:style>
  <w:style w:type="character" w:customStyle="1" w:styleId="96">
    <w:name w:val="Doc-title Char"/>
    <w:link w:val="65"/>
    <w:qFormat/>
    <w:locked/>
    <w:uiPriority w:val="0"/>
    <w:rPr>
      <w:rFonts w:ascii="Arial" w:hAnsi="Arial" w:eastAsia="MS Mincho" w:cs="Arial"/>
      <w:szCs w:val="24"/>
      <w:lang w:val="en-GB" w:eastAsia="en-GB"/>
    </w:rPr>
  </w:style>
  <w:style w:type="character" w:customStyle="1" w:styleId="97">
    <w:name w:val="st"/>
    <w:qFormat/>
    <w:uiPriority w:val="0"/>
  </w:style>
  <w:style w:type="character" w:customStyle="1" w:styleId="98">
    <w:name w:val="正文文本 Char"/>
    <w:link w:val="27"/>
    <w:qFormat/>
    <w:uiPriority w:val="0"/>
    <w:rPr>
      <w:rFonts w:ascii="Arial" w:hAnsi="Arial"/>
      <w:lang w:val="en-GB"/>
    </w:rPr>
  </w:style>
  <w:style w:type="character" w:customStyle="1" w:styleId="99">
    <w:name w:val="标题 1 Char"/>
    <w:link w:val="2"/>
    <w:qFormat/>
    <w:uiPriority w:val="0"/>
    <w:rPr>
      <w:rFonts w:ascii="Arial" w:hAnsi="Arial" w:cs="Times New Roman"/>
      <w:sz w:val="36"/>
      <w:szCs w:val="36"/>
      <w:lang w:val="en-GB" w:eastAsia="ko-KR"/>
    </w:rPr>
  </w:style>
  <w:style w:type="character" w:customStyle="1" w:styleId="100">
    <w:name w:val="NO Char"/>
    <w:link w:val="64"/>
    <w:qFormat/>
    <w:uiPriority w:val="0"/>
    <w:rPr>
      <w:rFonts w:ascii="Times New Roman" w:hAnsi="Times New Roman" w:eastAsia="Times New Roman"/>
    </w:rPr>
  </w:style>
  <w:style w:type="character" w:customStyle="1" w:styleId="101">
    <w:name w:val="Editor's Note Char Char"/>
    <w:link w:val="71"/>
    <w:qFormat/>
    <w:uiPriority w:val="0"/>
    <w:rPr>
      <w:rFonts w:ascii="Arial" w:hAnsi="Arial"/>
      <w:color w:val="FF0000"/>
      <w:lang w:val="en-GB" w:eastAsia="en-US"/>
    </w:rPr>
  </w:style>
  <w:style w:type="character" w:customStyle="1" w:styleId="102">
    <w:name w:val="明显引用 Char"/>
    <w:link w:val="90"/>
    <w:qFormat/>
    <w:uiPriority w:val="30"/>
    <w:rPr>
      <w:rFonts w:ascii="Times New Roman" w:hAnsi="Times New Roman" w:cs="Times New Roman"/>
      <w:i/>
      <w:iCs/>
      <w:color w:val="4472C4"/>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OPPO1.dotx</Template>
  <Pages>4</Pages>
  <Words>2226</Words>
  <Characters>11632</Characters>
  <Lines>142</Lines>
  <Paragraphs>39</Paragraphs>
  <TotalTime>0</TotalTime>
  <ScaleCrop>false</ScaleCrop>
  <LinksUpToDate>false</LinksUpToDate>
  <CharactersWithSpaces>13805</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2019-05-15T23:25:00Z</dcterms:created>
  <dc:creator>ZTE</dc:creator>
  <cp:lastModifiedBy>ZTE</cp:lastModifiedBy>
  <cp:lastPrinted>2018-05-04T16:26:00Z</cp:lastPrinted>
  <dcterms:modified xsi:type="dcterms:W3CDTF">2019-08-16T06:06:25Z</dcterms:modified>
  <dc:title>ZTE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2016-02-18T07:00:00Z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2052-11.8.2.8361</vt:lpwstr>
  </property>
  <property fmtid="{D5CDD505-2E9C-101B-9397-08002B2CF9AE}" pid="10" name="_2015_ms_pID_725343">
    <vt:lpwstr>(3)2nM8IpdVJk8lpD5+r+j8hW9cJU0w9bJGp69RotHxZ6b1TZRDTRg3C+nq8O2T7gDaYcrtMHuQ
kjpkIpIt0XMRaoCcuKPbb8ByafEqm3N7qLy13Xji7wfau01PhIEomzi60JkdN/V+kuLHcSy8
5HndzIAg73EkeTMGKfFGB4s+nBI2m69A5w2IfbAQ+lZKCsCC5nIOI92o9jg9a/fCodgz46fx
QZvI6PJojItkcF+Wuo</vt:lpwstr>
  </property>
  <property fmtid="{D5CDD505-2E9C-101B-9397-08002B2CF9AE}" pid="11" name="_2015_ms_pID_7253431">
    <vt:lpwstr>FJVaQms6Y0SPf2geT9LcZpKclY2VO+mJ91fkrbO9DW87/0JXUlXI4h
m6kGqp73RWx5D6M6P+S0xBpumzP+QyAqMwPc6Q1Wi9hV8NKYh7OXg4/8K5eOjozXTgtc0IdS
D9RvUnvanWEwTcU/UoYaHEddmWBYHX2RxAC2qYw7mgEy7IXVTWzwUeSN1lOIWy00UaxAQaor
KSVO6axE0TD9yQ/swDxVasdMrvL0f/omPxpR</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DXhuzxoiBiWl5qIu7C3ZiAM=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ies>
</file>